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6A778" w14:textId="16F9A431" w:rsidR="006A316D" w:rsidRPr="007D246C" w:rsidRDefault="006A316D" w:rsidP="00150FBA">
      <w:pPr>
        <w:pStyle w:val="Titre1"/>
        <w:spacing w:before="0" w:after="0" w:line="360" w:lineRule="auto"/>
        <w:contextualSpacing/>
        <w:rPr>
          <w:b/>
          <w:bCs/>
          <w:color w:val="000000" w:themeColor="text1"/>
          <w:sz w:val="28"/>
          <w:szCs w:val="28"/>
        </w:rPr>
      </w:pPr>
      <w:r w:rsidRPr="007D246C">
        <w:rPr>
          <w:b/>
          <w:bCs/>
          <w:color w:val="000000" w:themeColor="text1"/>
          <w:sz w:val="28"/>
          <w:szCs w:val="28"/>
        </w:rPr>
        <w:t>Test de relecture-correction et préparation de copie</w:t>
      </w:r>
      <w:r w:rsidR="000B0118" w:rsidRPr="007D246C">
        <w:rPr>
          <w:b/>
          <w:bCs/>
          <w:color w:val="000000" w:themeColor="text1"/>
          <w:sz w:val="28"/>
          <w:szCs w:val="28"/>
        </w:rPr>
        <w:t xml:space="preserve"> – Lot 3</w:t>
      </w:r>
      <w:r w:rsidR="00DF1A90">
        <w:rPr>
          <w:b/>
          <w:bCs/>
          <w:color w:val="000000" w:themeColor="text1"/>
          <w:sz w:val="28"/>
          <w:szCs w:val="28"/>
        </w:rPr>
        <w:t xml:space="preserve"> – Texte 1</w:t>
      </w:r>
    </w:p>
    <w:p w14:paraId="169E05BA" w14:textId="474E6E03" w:rsidR="005E4FD1" w:rsidRPr="007D246C" w:rsidRDefault="005E4FD1" w:rsidP="00150FBA">
      <w:pPr>
        <w:pStyle w:val="Standard"/>
        <w:spacing w:after="0"/>
        <w:contextualSpacing/>
      </w:pPr>
      <w:r w:rsidRPr="007D246C">
        <w:br/>
      </w:r>
      <w:r w:rsidRPr="007D246C">
        <w:rPr>
          <w:b/>
          <w:bCs/>
        </w:rPr>
        <w:t>Consignes</w:t>
      </w:r>
      <w:r w:rsidRPr="007D246C">
        <w:t xml:space="preserve"> : </w:t>
      </w:r>
    </w:p>
    <w:p w14:paraId="0D53AE9D" w14:textId="77777777" w:rsidR="00150FBA" w:rsidRPr="007D246C" w:rsidRDefault="00150FBA" w:rsidP="00150FBA">
      <w:pPr>
        <w:pStyle w:val="Standard"/>
        <w:spacing w:after="0"/>
        <w:contextualSpacing/>
      </w:pPr>
    </w:p>
    <w:p w14:paraId="493C4011" w14:textId="622B509D" w:rsidR="00150FBA" w:rsidRPr="007D246C" w:rsidRDefault="00150FBA" w:rsidP="00150FBA">
      <w:pPr>
        <w:pStyle w:val="Standard"/>
        <w:spacing w:after="0"/>
        <w:contextualSpacing/>
      </w:pPr>
      <w:r w:rsidRPr="007D246C">
        <w:t xml:space="preserve">Vous êtes chargé d’effectuer la relecture du texte suivant (correction ortho-typographique et vérification de l’information) puis d’effectuer la préparation de copie de l’article. </w:t>
      </w:r>
    </w:p>
    <w:p w14:paraId="78110F79" w14:textId="77777777" w:rsidR="00150FBA" w:rsidRPr="007D246C" w:rsidRDefault="00150FBA" w:rsidP="00150FBA">
      <w:pPr>
        <w:pStyle w:val="Standard"/>
        <w:spacing w:after="0"/>
        <w:contextualSpacing/>
      </w:pPr>
    </w:p>
    <w:p w14:paraId="570C02EA" w14:textId="32CBFBB9" w:rsidR="00150FBA" w:rsidRPr="007D246C" w:rsidRDefault="00150FBA" w:rsidP="00150FBA">
      <w:pPr>
        <w:pStyle w:val="Standard"/>
        <w:spacing w:after="0"/>
        <w:contextualSpacing/>
      </w:pPr>
      <w:r w:rsidRPr="007D246C">
        <w:t>Deux fichiers seront à rendre, sous format Word de préférence (format Open Office accepté). Le premier avec les corrections</w:t>
      </w:r>
      <w:r w:rsidR="006D2CF6">
        <w:t xml:space="preserve"> et les éventuelles propositions de reformulation </w:t>
      </w:r>
      <w:r w:rsidRPr="007D246C">
        <w:t xml:space="preserve">apparentes et d’éventuels commentaires pour justifier vos choix. Le deuxième document est la préparation de copie en elle-même, telle qu’elle serait transmise au graphiste chargé de la mise en pages. </w:t>
      </w:r>
    </w:p>
    <w:p w14:paraId="1FD55AE0" w14:textId="77777777" w:rsidR="00150FBA" w:rsidRPr="007D246C" w:rsidRDefault="00150FBA" w:rsidP="00150FBA">
      <w:pPr>
        <w:pStyle w:val="Standard"/>
        <w:spacing w:after="0"/>
        <w:contextualSpacing/>
      </w:pPr>
    </w:p>
    <w:p w14:paraId="722EBCCB" w14:textId="2F78A229" w:rsidR="005E4FD1" w:rsidRPr="007D246C" w:rsidRDefault="003B71C8" w:rsidP="00150FBA">
      <w:pPr>
        <w:pStyle w:val="Standard"/>
        <w:spacing w:after="0"/>
        <w:contextualSpacing/>
        <w:rPr>
          <w:rFonts w:ascii="Times New Roman" w:hAnsi="Times New Roman" w:cs="Times New Roman"/>
          <w:b/>
          <w:bCs/>
        </w:rPr>
      </w:pPr>
      <w:r w:rsidRPr="007D246C">
        <w:rPr>
          <w:b/>
          <w:bCs/>
        </w:rPr>
        <w:t xml:space="preserve">1. </w:t>
      </w:r>
      <w:r w:rsidR="006A316D" w:rsidRPr="007D246C">
        <w:t xml:space="preserve">Vous </w:t>
      </w:r>
      <w:r w:rsidRPr="007D246C">
        <w:t xml:space="preserve">rédigerez un chapô de 400 à 600 signes espaces comprises. Vous </w:t>
      </w:r>
      <w:r w:rsidR="006A316D" w:rsidRPr="007D246C">
        <w:t xml:space="preserve">proposerez un titre à l’article et des </w:t>
      </w:r>
      <w:r w:rsidRPr="007D246C">
        <w:t xml:space="preserve">titres de parties </w:t>
      </w:r>
      <w:r w:rsidR="00150FBA" w:rsidRPr="007D246C">
        <w:t>(</w:t>
      </w:r>
      <w:r w:rsidRPr="007D246C">
        <w:t xml:space="preserve">éventuellement de sous-parties </w:t>
      </w:r>
      <w:r w:rsidR="00150FBA" w:rsidRPr="007D246C">
        <w:t xml:space="preserve">– </w:t>
      </w:r>
      <w:r w:rsidRPr="007D246C">
        <w:t>3 niveaux de titres maximum).</w:t>
      </w:r>
      <w:r w:rsidRPr="007D246C">
        <w:br/>
      </w:r>
      <w:r w:rsidR="006A316D" w:rsidRPr="007D246C">
        <w:br/>
      </w:r>
      <w:r w:rsidRPr="007D246C">
        <w:rPr>
          <w:b/>
          <w:bCs/>
        </w:rPr>
        <w:t xml:space="preserve">2. </w:t>
      </w:r>
      <w:r w:rsidR="006A316D" w:rsidRPr="007D246C">
        <w:t>Vous sélectionnerez quatre courts extraits (une phrase ou deux) qui serviront d’exergues.</w:t>
      </w:r>
      <w:r w:rsidRPr="007D246C">
        <w:br/>
      </w:r>
      <w:r w:rsidR="006A316D" w:rsidRPr="007D246C">
        <w:br/>
      </w:r>
      <w:r w:rsidRPr="007D246C">
        <w:rPr>
          <w:b/>
          <w:bCs/>
        </w:rPr>
        <w:t>3.</w:t>
      </w:r>
      <w:r w:rsidRPr="007D246C">
        <w:t xml:space="preserve"> </w:t>
      </w:r>
      <w:r w:rsidR="006A316D" w:rsidRPr="007D246C">
        <w:t>Vous harmoniserez les références bibliographiques selon les normes suivantes :</w:t>
      </w:r>
      <w:r w:rsidR="006A316D" w:rsidRPr="007D246C">
        <w:br/>
        <w:t xml:space="preserve">Pour un ouvrage : </w:t>
      </w:r>
      <w:r w:rsidR="006A316D" w:rsidRPr="007D246C">
        <w:rPr>
          <w:rFonts w:ascii="Times New Roman" w:hAnsi="Times New Roman" w:cs="Times New Roman"/>
          <w:b/>
          <w:bCs/>
        </w:rPr>
        <w:t xml:space="preserve">NOM P., </w:t>
      </w:r>
      <w:r w:rsidR="006A316D" w:rsidRPr="007D246C">
        <w:rPr>
          <w:rFonts w:ascii="Times New Roman" w:hAnsi="Times New Roman" w:cs="Times New Roman"/>
          <w:b/>
          <w:bCs/>
          <w:i/>
          <w:iCs/>
        </w:rPr>
        <w:t>Titre du livre</w:t>
      </w:r>
      <w:r w:rsidR="006A316D" w:rsidRPr="007D246C">
        <w:rPr>
          <w:rFonts w:ascii="Times New Roman" w:hAnsi="Times New Roman" w:cs="Times New Roman"/>
          <w:b/>
          <w:bCs/>
        </w:rPr>
        <w:t>, Ville d’édition : Éditeur, année.</w:t>
      </w:r>
      <w:r w:rsidR="005E4FD1" w:rsidRPr="007D246C">
        <w:rPr>
          <w:rFonts w:ascii="Times New Roman" w:hAnsi="Times New Roman" w:cs="Times New Roman"/>
          <w:b/>
          <w:bCs/>
        </w:rPr>
        <w:br/>
      </w:r>
      <w:r w:rsidR="006A316D" w:rsidRPr="007D246C">
        <w:t xml:space="preserve">Pour un article : </w:t>
      </w:r>
      <w:r w:rsidR="006A316D" w:rsidRPr="007D246C">
        <w:rPr>
          <w:rFonts w:ascii="Times New Roman" w:hAnsi="Times New Roman" w:cs="Times New Roman"/>
          <w:b/>
          <w:bCs/>
          <w:color w:val="000000" w:themeColor="text1"/>
        </w:rPr>
        <w:t xml:space="preserve">NOM P., « Titre de l’article », </w:t>
      </w:r>
      <w:r w:rsidR="006A316D" w:rsidRPr="007D246C">
        <w:rPr>
          <w:rFonts w:ascii="Times New Roman" w:hAnsi="Times New Roman" w:cs="Times New Roman"/>
          <w:b/>
          <w:bCs/>
          <w:i/>
          <w:iCs/>
          <w:color w:val="000000" w:themeColor="text1"/>
        </w:rPr>
        <w:t>Nom de la revue</w:t>
      </w:r>
      <w:r w:rsidR="006A316D" w:rsidRPr="007D246C">
        <w:rPr>
          <w:rFonts w:ascii="Times New Roman" w:hAnsi="Times New Roman" w:cs="Times New Roman"/>
          <w:b/>
          <w:bCs/>
          <w:color w:val="000000" w:themeColor="text1"/>
        </w:rPr>
        <w:t>, numéro de la revue, année.</w:t>
      </w:r>
      <w:r w:rsidR="005E4FD1" w:rsidRPr="007D246C">
        <w:rPr>
          <w:rFonts w:ascii="Times New Roman" w:hAnsi="Times New Roman" w:cs="Times New Roman"/>
          <w:b/>
          <w:bCs/>
          <w:color w:val="000000" w:themeColor="text1"/>
        </w:rPr>
        <w:br/>
      </w:r>
      <w:r w:rsidR="005E4FD1" w:rsidRPr="007D246C">
        <w:t xml:space="preserve">Forme des renvois aux références : </w:t>
      </w:r>
      <w:r w:rsidR="005E4FD1" w:rsidRPr="007D246C">
        <w:rPr>
          <w:rFonts w:ascii="Times New Roman" w:hAnsi="Times New Roman" w:cs="Times New Roman"/>
          <w:b/>
          <w:bCs/>
        </w:rPr>
        <w:t>(Auteur, année)</w:t>
      </w:r>
    </w:p>
    <w:p w14:paraId="3F001C0C" w14:textId="77777777" w:rsidR="00150FBA" w:rsidRPr="007D246C" w:rsidRDefault="00150FBA" w:rsidP="00150FBA">
      <w:pPr>
        <w:pStyle w:val="Standard"/>
        <w:spacing w:after="0"/>
        <w:contextualSpacing/>
      </w:pPr>
    </w:p>
    <w:p w14:paraId="724338F1" w14:textId="57FD21CE" w:rsidR="00150FBA" w:rsidRPr="007D246C" w:rsidRDefault="00150FBA" w:rsidP="00150FBA">
      <w:pPr>
        <w:pStyle w:val="Standard"/>
        <w:spacing w:after="0"/>
        <w:contextualSpacing/>
      </w:pPr>
      <w:r w:rsidRPr="007D246C">
        <w:rPr>
          <w:b/>
          <w:bCs/>
        </w:rPr>
        <w:t>4.</w:t>
      </w:r>
      <w:r w:rsidRPr="007D246C">
        <w:t xml:space="preserve"> La rédaction suit les recommandations ortho-typographique</w:t>
      </w:r>
      <w:r w:rsidR="006D2CF6">
        <w:t>s</w:t>
      </w:r>
      <w:r w:rsidRPr="007D246C">
        <w:t xml:space="preserve"> de l’Imprimerie nationale. Pas d’écriture inclusive.</w:t>
      </w:r>
    </w:p>
    <w:p w14:paraId="1EF29702" w14:textId="77777777" w:rsidR="003B71C8" w:rsidRPr="007D246C" w:rsidRDefault="003B71C8" w:rsidP="00150FBA">
      <w:pPr>
        <w:pStyle w:val="Standard"/>
        <w:spacing w:after="0" w:line="360" w:lineRule="auto"/>
        <w:contextualSpacing/>
      </w:pPr>
    </w:p>
    <w:p w14:paraId="0485F7C9" w14:textId="148C40A0" w:rsidR="005E4FD1" w:rsidRPr="007D246C" w:rsidRDefault="005E4FD1" w:rsidP="00150FBA">
      <w:pPr>
        <w:pStyle w:val="Standard"/>
        <w:spacing w:after="0" w:line="360" w:lineRule="auto"/>
        <w:contextualSpacing/>
        <w:rPr>
          <w:rFonts w:ascii="Times New Roman" w:hAnsi="Times New Roman" w:cs="Times New Roman"/>
        </w:rPr>
      </w:pPr>
      <w:r w:rsidRPr="007D246C">
        <w:rPr>
          <w:rFonts w:ascii="Times New Roman" w:hAnsi="Times New Roman" w:cs="Times New Roman"/>
        </w:rPr>
        <w:t>–––––––––––––––––––––</w:t>
      </w:r>
    </w:p>
    <w:p w14:paraId="22B53F63" w14:textId="30CDD9F8" w:rsidR="00EA255C" w:rsidRPr="007D246C" w:rsidRDefault="00000000" w:rsidP="00150FBA">
      <w:pPr>
        <w:pStyle w:val="Titre1"/>
        <w:spacing w:before="0" w:after="0" w:line="360" w:lineRule="auto"/>
        <w:contextualSpacing/>
        <w:rPr>
          <w:rFonts w:ascii="Times New Roman" w:hAnsi="Times New Roman"/>
        </w:rPr>
      </w:pPr>
      <w:r w:rsidRPr="007D246C">
        <w:rPr>
          <w:rFonts w:ascii="Times New Roman" w:hAnsi="Times New Roman"/>
        </w:rPr>
        <w:t>L’Anthropocène</w:t>
      </w:r>
    </w:p>
    <w:p w14:paraId="18D62F31" w14:textId="77777777" w:rsidR="005E4FD1" w:rsidRPr="007D246C" w:rsidRDefault="005E4FD1" w:rsidP="00150FBA">
      <w:pPr>
        <w:pStyle w:val="Standard"/>
        <w:spacing w:after="0" w:line="360" w:lineRule="auto"/>
        <w:contextualSpacing/>
      </w:pPr>
    </w:p>
    <w:p w14:paraId="1D9EC1B2" w14:textId="72B6DFCB"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Alors que l’instabilité et les changements de tou</w:t>
      </w:r>
      <w:r w:rsidR="006A316D" w:rsidRPr="007D246C">
        <w:rPr>
          <w:rFonts w:ascii="Times New Roman" w:hAnsi="Times New Roman"/>
        </w:rPr>
        <w:t>s</w:t>
      </w:r>
      <w:r w:rsidRPr="007D246C">
        <w:rPr>
          <w:rFonts w:ascii="Times New Roman" w:hAnsi="Times New Roman"/>
        </w:rPr>
        <w:t xml:space="preserve"> ordre</w:t>
      </w:r>
      <w:r w:rsidR="006A316D" w:rsidRPr="007D246C">
        <w:rPr>
          <w:rFonts w:ascii="Times New Roman" w:hAnsi="Times New Roman"/>
        </w:rPr>
        <w:t>s</w:t>
      </w:r>
      <w:r w:rsidRPr="007D246C">
        <w:rPr>
          <w:rFonts w:ascii="Times New Roman" w:hAnsi="Times New Roman"/>
        </w:rPr>
        <w:t xml:space="preserve"> caractérisent nos actualités, les enjeux environnementaux sont de plus en plus relégués aux marges, si ce n’est exclu</w:t>
      </w:r>
      <w:r w:rsidR="006A316D" w:rsidRPr="007D246C">
        <w:rPr>
          <w:rFonts w:ascii="Times New Roman" w:hAnsi="Times New Roman"/>
        </w:rPr>
        <w:t>t</w:t>
      </w:r>
      <w:r w:rsidRPr="007D246C">
        <w:rPr>
          <w:rFonts w:ascii="Times New Roman" w:hAnsi="Times New Roman"/>
        </w:rPr>
        <w:t>, des agendas politiques, comme s’ils n’avaient pas de dimension politique. La situation est pour le moins surprenante, alors que se pose de plus en plus la question de l’habitabilité de certaines régions du monde, du fait de profondes dégradations de « nos bases matérielles de vie communes », pour reprendre l’expression de Dominique Bourg</w:t>
      </w:r>
      <w:r w:rsidRPr="007D246C">
        <w:rPr>
          <w:rStyle w:val="Appelnotedebasdep"/>
          <w:rFonts w:ascii="Times New Roman" w:hAnsi="Times New Roman"/>
        </w:rPr>
        <w:footnoteReference w:id="1"/>
      </w:r>
      <w:r w:rsidRPr="007D246C">
        <w:rPr>
          <w:rFonts w:ascii="Times New Roman" w:hAnsi="Times New Roman"/>
        </w:rPr>
        <w:t xml:space="preserve">. Pour cette raison, les enjeux environnementaux sont indissociables de ceux des sociétés. Ils revêtent une dimension politique et devraient être considérés comme une priorité, puisque tous les autres sujets de </w:t>
      </w:r>
      <w:r w:rsidRPr="007D246C">
        <w:rPr>
          <w:rFonts w:ascii="Times New Roman" w:hAnsi="Times New Roman"/>
        </w:rPr>
        <w:lastRenderedPageBreak/>
        <w:t>société en dépendent, ou en dépendront dans un avenir proche. Autrement dit, cette question doit être traitée en urgence.</w:t>
      </w:r>
    </w:p>
    <w:p w14:paraId="0637E070" w14:textId="77777777" w:rsidR="003B71C8" w:rsidRPr="007D246C" w:rsidRDefault="003B71C8" w:rsidP="00150FBA">
      <w:pPr>
        <w:pStyle w:val="Standard"/>
        <w:spacing w:after="0" w:line="360" w:lineRule="auto"/>
        <w:contextualSpacing/>
        <w:jc w:val="both"/>
        <w:rPr>
          <w:rFonts w:ascii="Times New Roman" w:hAnsi="Times New Roman"/>
        </w:rPr>
      </w:pPr>
    </w:p>
    <w:p w14:paraId="6E7991BE" w14:textId="0669CC9B"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Les institutions muséales manifestent globalement</w:t>
      </w:r>
      <w:r w:rsidR="00D87670" w:rsidRPr="007D246C">
        <w:rPr>
          <w:rFonts w:ascii="Times New Roman" w:hAnsi="Times New Roman"/>
        </w:rPr>
        <w:t>,</w:t>
      </w:r>
      <w:r w:rsidRPr="007D246C">
        <w:rPr>
          <w:rFonts w:ascii="Times New Roman" w:hAnsi="Times New Roman"/>
        </w:rPr>
        <w:t xml:space="preserve"> une sensibilisation à ces enjeux, comme en témoigne l’introduction de la notion de durabilité dans la définition du musée de l’ICOM international de 202</w:t>
      </w:r>
      <w:r w:rsidR="006A316D" w:rsidRPr="007D246C">
        <w:rPr>
          <w:rFonts w:ascii="Times New Roman" w:hAnsi="Times New Roman"/>
        </w:rPr>
        <w:t>1</w:t>
      </w:r>
      <w:r w:rsidRPr="007D246C">
        <w:rPr>
          <w:rFonts w:ascii="Times New Roman" w:hAnsi="Times New Roman"/>
        </w:rPr>
        <w:t>. Cette notion avait été plébiscitée par l’ensemble de la communauté de l’ICOM, au moyen d’un sondage mené dans la phase initiale de l’élaboration de cette définition</w:t>
      </w:r>
      <w:r w:rsidRPr="007D246C">
        <w:rPr>
          <w:rStyle w:val="Appelnotedebasdep"/>
          <w:rFonts w:ascii="Times New Roman" w:hAnsi="Times New Roman"/>
        </w:rPr>
        <w:footnoteReference w:id="2"/>
      </w:r>
      <w:r w:rsidRPr="007D246C">
        <w:rPr>
          <w:rFonts w:ascii="Times New Roman" w:hAnsi="Times New Roman"/>
        </w:rPr>
        <w:t>. Se pose alors la question de savoir de quelle manière aborder ces thèmes, car même si les agendas et les politiques ne sont pas à la hauteur des enjeux, les questions environnementales sont omniprésentes et font régulièrement l’objet de controverses. Dès lors, l’engagement des institutions culturelles sur ce thème fondamental devient potentiellement sujet à suspi</w:t>
      </w:r>
      <w:r w:rsidR="006A316D" w:rsidRPr="007D246C">
        <w:rPr>
          <w:rFonts w:ascii="Times New Roman" w:hAnsi="Times New Roman"/>
        </w:rPr>
        <w:t>s</w:t>
      </w:r>
      <w:r w:rsidRPr="007D246C">
        <w:rPr>
          <w:rFonts w:ascii="Times New Roman" w:hAnsi="Times New Roman"/>
        </w:rPr>
        <w:t xml:space="preserve">cion et exige de nombreuses précautions afin d’éviter tout discrédit susceptible de remettre en cause la scientificité dont les musées jouissent encore. </w:t>
      </w:r>
      <w:r w:rsidR="003B71C8" w:rsidRPr="007D246C">
        <w:rPr>
          <w:rFonts w:ascii="Times New Roman" w:hAnsi="Times New Roman"/>
        </w:rPr>
        <w:t xml:space="preserve"> </w:t>
      </w:r>
      <w:r w:rsidRPr="007D246C">
        <w:rPr>
          <w:rFonts w:ascii="Times New Roman" w:hAnsi="Times New Roman"/>
        </w:rPr>
        <w:t>Par scientificité, on suppose une neutralité axiologique, telle que définie par Max Weber</w:t>
      </w:r>
      <w:r w:rsidRPr="007D246C">
        <w:rPr>
          <w:rStyle w:val="Appelnotedebasdep"/>
          <w:rFonts w:ascii="Times New Roman" w:hAnsi="Times New Roman"/>
        </w:rPr>
        <w:footnoteReference w:id="3"/>
      </w:r>
      <w:r w:rsidRPr="007D246C">
        <w:rPr>
          <w:rFonts w:ascii="Times New Roman" w:hAnsi="Times New Roman"/>
        </w:rPr>
        <w:t>, où faits et valeurs doivent être séparés pour s’assurer de la plus grande objectivité. Ainsi, de ce point de vue « moderne », où l’analyse se fait au prisme de dichotomies, et de celle-ci en particulier, on pourrait se limiter à l’exposition de faits. Est-ce là la limite de champ d’action du musée, sommes-nous en mesure d’agencer faits et valeurs et, le cas échéant, ne risquons-nous pas de nous éloigner de nos prérogatives, au prix de perdre toute distance critique ?</w:t>
      </w:r>
    </w:p>
    <w:p w14:paraId="229C6C2B" w14:textId="77777777" w:rsidR="003B71C8" w:rsidRPr="007D246C" w:rsidRDefault="003B71C8" w:rsidP="00150FBA">
      <w:pPr>
        <w:pStyle w:val="Standard"/>
        <w:spacing w:after="0" w:line="360" w:lineRule="auto"/>
        <w:contextualSpacing/>
        <w:jc w:val="both"/>
        <w:rPr>
          <w:rFonts w:ascii="Times New Roman" w:hAnsi="Times New Roman"/>
        </w:rPr>
      </w:pPr>
    </w:p>
    <w:p w14:paraId="47F9D4EF" w14:textId="4125F035"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 xml:space="preserve">Ces questions méritent d’être questionnées au regard du concept d’Anthropocène. Il est issu du paradigme systémique, qui se développe dès la fin de la Seconde </w:t>
      </w:r>
      <w:r w:rsidR="003B71C8" w:rsidRPr="007D246C">
        <w:rPr>
          <w:rFonts w:ascii="Times New Roman" w:hAnsi="Times New Roman"/>
        </w:rPr>
        <w:t>G</w:t>
      </w:r>
      <w:r w:rsidRPr="007D246C">
        <w:rPr>
          <w:rFonts w:ascii="Times New Roman" w:hAnsi="Times New Roman"/>
        </w:rPr>
        <w:t xml:space="preserve">uerre </w:t>
      </w:r>
      <w:r w:rsidR="003B71C8" w:rsidRPr="007D246C">
        <w:rPr>
          <w:rFonts w:ascii="Times New Roman" w:hAnsi="Times New Roman"/>
        </w:rPr>
        <w:t>M</w:t>
      </w:r>
      <w:r w:rsidRPr="007D246C">
        <w:rPr>
          <w:rFonts w:ascii="Times New Roman" w:hAnsi="Times New Roman"/>
        </w:rPr>
        <w:t>ondiale et qui voit se constituer une communauté interdisciplinaire, nommée sciences du système Terre</w:t>
      </w:r>
      <w:r w:rsidRPr="007D246C">
        <w:rPr>
          <w:rStyle w:val="Appelnotedebasdep"/>
          <w:rFonts w:ascii="Times New Roman" w:hAnsi="Times New Roman"/>
        </w:rPr>
        <w:footnoteReference w:id="4"/>
      </w:r>
      <w:r w:rsidRPr="007D246C">
        <w:rPr>
          <w:rFonts w:ascii="Times New Roman" w:hAnsi="Times New Roman"/>
        </w:rPr>
        <w:t>. Elle intègre d’abord les sciences de l’ingénieur et les sciences naturelles, puis progressivement les sciences humaines et sociales. L’idée originale, formulée par le prix Nobel et membre de cette communauté de recherche, Paul Cru</w:t>
      </w:r>
      <w:r w:rsidR="003B71C8" w:rsidRPr="007D246C">
        <w:rPr>
          <w:rFonts w:ascii="Times New Roman" w:hAnsi="Times New Roman"/>
        </w:rPr>
        <w:t>z</w:t>
      </w:r>
      <w:r w:rsidRPr="007D246C">
        <w:rPr>
          <w:rFonts w:ascii="Times New Roman" w:hAnsi="Times New Roman"/>
        </w:rPr>
        <w:t>ten</w:t>
      </w:r>
      <w:r w:rsidRPr="007D246C">
        <w:rPr>
          <w:rStyle w:val="Appelnotedebasdep"/>
          <w:rFonts w:ascii="Times New Roman" w:hAnsi="Times New Roman"/>
        </w:rPr>
        <w:footnoteReference w:id="5"/>
      </w:r>
      <w:r w:rsidRPr="007D246C">
        <w:rPr>
          <w:rFonts w:ascii="Times New Roman" w:hAnsi="Times New Roman"/>
        </w:rPr>
        <w:t xml:space="preserve">, est de confier aux géologues-stratigraphes en charge de l’échelle des temps géologiques, la tâche de définir une nouvelle époque qui succéderait à celle nommée Holocène. Cette proposition se fonde sur le constat que </w:t>
      </w:r>
      <w:r w:rsidRPr="007D246C">
        <w:rPr>
          <w:rFonts w:ascii="Times New Roman" w:hAnsi="Times New Roman"/>
        </w:rPr>
        <w:lastRenderedPageBreak/>
        <w:t>des changements systémiques profonds, qui vont bien au-delà du seul changement climatique, ont modifié de manière irréversible la fonctionnement de notre planète</w:t>
      </w:r>
      <w:r w:rsidRPr="007D246C">
        <w:rPr>
          <w:rStyle w:val="Appelnotedebasdep"/>
          <w:rFonts w:ascii="Times New Roman" w:hAnsi="Times New Roman"/>
        </w:rPr>
        <w:footnoteReference w:id="6"/>
      </w:r>
      <w:r w:rsidRPr="007D246C">
        <w:rPr>
          <w:rFonts w:ascii="Times New Roman" w:hAnsi="Times New Roman"/>
        </w:rPr>
        <w:t>. En mars 2024, la commission en charge de statuer sur cette affaire a refusé cette proposition</w:t>
      </w:r>
      <w:r w:rsidRPr="007D246C">
        <w:rPr>
          <w:rStyle w:val="Appelnotedebasdep"/>
          <w:rFonts w:ascii="Times New Roman" w:hAnsi="Times New Roman"/>
        </w:rPr>
        <w:footnoteReference w:id="7"/>
      </w:r>
      <w:r w:rsidRPr="007D246C">
        <w:rPr>
          <w:rFonts w:ascii="Times New Roman" w:hAnsi="Times New Roman"/>
        </w:rPr>
        <w:t xml:space="preserve"> malgré la quasi-unanimité du « groupe de travail sur l’Anthropocène » qui avait été mandaté dès 2008 pour discuter de sa pertinence et qui s’était prononcé en sa faveur</w:t>
      </w:r>
      <w:r w:rsidRPr="007D246C">
        <w:rPr>
          <w:rStyle w:val="Appelnotedebasdep"/>
          <w:rFonts w:ascii="Times New Roman" w:hAnsi="Times New Roman"/>
        </w:rPr>
        <w:footnoteReference w:id="8"/>
      </w:r>
      <w:r w:rsidRPr="007D246C">
        <w:rPr>
          <w:rFonts w:ascii="Times New Roman" w:hAnsi="Times New Roman"/>
        </w:rPr>
        <w:t>. Pourtant, l’Anthropocène, du fait de sa puissance heuristique, est un concept qui persiste et reste utile dans de très nombreux domaines, du monde académique à celui des arts</w:t>
      </w:r>
      <w:r w:rsidRPr="007D246C">
        <w:rPr>
          <w:rStyle w:val="Appelnotedebasdep"/>
          <w:rFonts w:ascii="Times New Roman" w:hAnsi="Times New Roman"/>
        </w:rPr>
        <w:footnoteReference w:id="9"/>
      </w:r>
      <w:r w:rsidRPr="007D246C">
        <w:rPr>
          <w:rFonts w:ascii="Times New Roman" w:hAnsi="Times New Roman"/>
        </w:rPr>
        <w:t>. Parmi les principaux concepts mobilisés pour nommer la situation environnementale, tels que crise écologique ou changement climatique, il est le plus intéressant pour tenter de rendre compte de la situation que nous sommes en train de vivre</w:t>
      </w:r>
      <w:r w:rsidRPr="007D246C">
        <w:rPr>
          <w:rStyle w:val="Appelnotedebasdep"/>
          <w:rFonts w:ascii="Times New Roman" w:hAnsi="Times New Roman"/>
        </w:rPr>
        <w:footnoteReference w:id="10"/>
      </w:r>
      <w:r w:rsidRPr="007D246C">
        <w:rPr>
          <w:rFonts w:ascii="Times New Roman" w:hAnsi="Times New Roman"/>
        </w:rPr>
        <w:t>.</w:t>
      </w:r>
    </w:p>
    <w:p w14:paraId="412114BC" w14:textId="77777777" w:rsidR="003B71C8" w:rsidRPr="007D246C" w:rsidRDefault="003B71C8" w:rsidP="00150FBA">
      <w:pPr>
        <w:pStyle w:val="Standard"/>
        <w:spacing w:after="0" w:line="360" w:lineRule="auto"/>
        <w:contextualSpacing/>
        <w:jc w:val="both"/>
        <w:rPr>
          <w:rFonts w:ascii="Times New Roman" w:hAnsi="Times New Roman"/>
        </w:rPr>
      </w:pPr>
    </w:p>
    <w:p w14:paraId="566AB974" w14:textId="7B4C49D0"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Si, à ce jour, l’Anthropocène n’a toujours pas de validation géologique officielle en tant qu’époque, le concept revêt une dimension géologique forte qui devrai</w:t>
      </w:r>
      <w:r w:rsidR="008754F3" w:rsidRPr="007D246C">
        <w:rPr>
          <w:rFonts w:ascii="Times New Roman" w:hAnsi="Times New Roman"/>
        </w:rPr>
        <w:t>en</w:t>
      </w:r>
      <w:r w:rsidRPr="007D246C">
        <w:rPr>
          <w:rFonts w:ascii="Times New Roman" w:hAnsi="Times New Roman"/>
        </w:rPr>
        <w:t>t toujours être présente</w:t>
      </w:r>
      <w:r w:rsidR="008754F3" w:rsidRPr="007D246C">
        <w:rPr>
          <w:rFonts w:ascii="Times New Roman" w:hAnsi="Times New Roman"/>
        </w:rPr>
        <w:t>s</w:t>
      </w:r>
      <w:r w:rsidRPr="007D246C">
        <w:rPr>
          <w:rFonts w:ascii="Times New Roman" w:hAnsi="Times New Roman"/>
        </w:rPr>
        <w:t xml:space="preserve"> à l’esprit des personnes qui le mobilisent. Car l’Anthropocène signifie que les changements environnementaux globaux que nous sommes en train de vivre, et qui trouvent tous leur origine dans des activités humaines, sont significatifs au regard de l’histoire de la Terre. C’est par ce constat, mis au regard </w:t>
      </w:r>
      <w:r w:rsidR="003B71C8" w:rsidRPr="007D246C">
        <w:rPr>
          <w:rFonts w:ascii="Times New Roman" w:hAnsi="Times New Roman"/>
        </w:rPr>
        <w:t xml:space="preserve"> </w:t>
      </w:r>
      <w:r w:rsidRPr="007D246C">
        <w:rPr>
          <w:rFonts w:ascii="Times New Roman" w:hAnsi="Times New Roman"/>
        </w:rPr>
        <w:t>de la profondeur de l’histoire de la Terre, que notre présent revêt une dimension dramatique. L’Anthropocène doit alors être pris comme un signal de cet état où notre présent croise une histoire géologique que nous, « modernes », concevons comme confinée dans des temps extrêmement lointains.</w:t>
      </w:r>
    </w:p>
    <w:p w14:paraId="16FFEDFA" w14:textId="77777777" w:rsidR="003B71C8" w:rsidRPr="007D246C" w:rsidRDefault="003B71C8" w:rsidP="00150FBA">
      <w:pPr>
        <w:pStyle w:val="Standard"/>
        <w:spacing w:after="0" w:line="360" w:lineRule="auto"/>
        <w:contextualSpacing/>
        <w:jc w:val="both"/>
        <w:rPr>
          <w:rFonts w:ascii="Times New Roman" w:hAnsi="Times New Roman"/>
        </w:rPr>
      </w:pPr>
    </w:p>
    <w:p w14:paraId="1CFCC29C" w14:textId="46896591"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Le signal « Anthropocène », par son caractère extraordinaire, révèle notre incapacité à rendre compte des changements rapides et profonds qui sont en train de se produire. Au-delà des jeux politiques qui ont pour conséquence de nier cette réalité, l’Anthropocène questionne notre cosmologie de modernes, qui se trouve aux fondements de cette situation. Cette cosmologie, qui s’exprime au travers de mythes et de valeurs aussi divers que l’idée de progrès, de liberté, d’autodétermination ou de ma</w:t>
      </w:r>
      <w:r w:rsidR="007E367D" w:rsidRPr="007D246C">
        <w:rPr>
          <w:rFonts w:ascii="Times New Roman" w:hAnsi="Times New Roman"/>
        </w:rPr>
        <w:t>i</w:t>
      </w:r>
      <w:r w:rsidRPr="007D246C">
        <w:rPr>
          <w:rFonts w:ascii="Times New Roman" w:hAnsi="Times New Roman"/>
        </w:rPr>
        <w:t>trise du monde, doit dès lors être questionnée au travers des deux dimensions qui fondent notre rapport au monde.</w:t>
      </w:r>
    </w:p>
    <w:p w14:paraId="437D2083" w14:textId="77777777" w:rsidR="003B71C8" w:rsidRPr="007D246C" w:rsidRDefault="003B71C8" w:rsidP="00150FBA">
      <w:pPr>
        <w:pStyle w:val="Standard"/>
        <w:spacing w:after="0" w:line="360" w:lineRule="auto"/>
        <w:contextualSpacing/>
        <w:jc w:val="both"/>
        <w:rPr>
          <w:rFonts w:ascii="Times New Roman" w:hAnsi="Times New Roman"/>
        </w:rPr>
      </w:pPr>
    </w:p>
    <w:p w14:paraId="6E6C729F" w14:textId="1A7C5B46"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 xml:space="preserve">Dès la fin du Moyen </w:t>
      </w:r>
      <w:r w:rsidR="00150FBA" w:rsidRPr="007D246C">
        <w:rPr>
          <w:rFonts w:ascii="Times New Roman" w:hAnsi="Times New Roman"/>
        </w:rPr>
        <w:t>â</w:t>
      </w:r>
      <w:r w:rsidRPr="007D246C">
        <w:rPr>
          <w:rFonts w:ascii="Times New Roman" w:hAnsi="Times New Roman"/>
        </w:rPr>
        <w:t>ge et surtout à la Renaissance</w:t>
      </w:r>
      <w:r w:rsidRPr="007D246C">
        <w:rPr>
          <w:rStyle w:val="Appelnotedebasdep"/>
          <w:rFonts w:ascii="Times New Roman" w:hAnsi="Times New Roman"/>
        </w:rPr>
        <w:footnoteReference w:id="11"/>
      </w:r>
      <w:r w:rsidRPr="007D246C">
        <w:rPr>
          <w:rFonts w:ascii="Times New Roman" w:hAnsi="Times New Roman"/>
        </w:rPr>
        <w:t>, se manifestent progressivement les éléments d’un nouveau rapport au monde, que l’anthropologue Philippe Descola a nommé « naturalisme »</w:t>
      </w:r>
      <w:r w:rsidRPr="007D246C">
        <w:rPr>
          <w:rStyle w:val="Appelnotedebasdep"/>
          <w:rFonts w:ascii="Times New Roman" w:hAnsi="Times New Roman"/>
        </w:rPr>
        <w:footnoteReference w:id="12"/>
      </w:r>
      <w:r w:rsidRPr="007D246C">
        <w:rPr>
          <w:rFonts w:ascii="Times New Roman" w:hAnsi="Times New Roman"/>
        </w:rPr>
        <w:t xml:space="preserve"> et qui se caractérise par une frontière nette entre l’humain et le non-humain, ce dernier ne devant pas être identifié uniquement au « reste du vivant ». Nous nommons le non-humain « nature » et l’opposons à la notion de culture. L’Anthropocène, en ce qu’il marque le moment où l’humanité (ou plus précisément une partie d’entre elle) est devenue une force de dimension géologique, capable d’influer profondément et irréversiblement sur le système Terre tout en mettant en péril ses propres conditions d’existence, contredit ce principe cardinal de la modernité. De plus, l’Anthropocène révèle que nous sommes entourés d’hybrides</w:t>
      </w:r>
      <w:r w:rsidRPr="007D246C">
        <w:rPr>
          <w:rStyle w:val="Appelnotedebasdep"/>
          <w:rFonts w:ascii="Times New Roman" w:hAnsi="Times New Roman"/>
        </w:rPr>
        <w:footnoteReference w:id="13"/>
      </w:r>
      <w:r w:rsidRPr="007D246C">
        <w:rPr>
          <w:rFonts w:ascii="Times New Roman" w:hAnsi="Times New Roman"/>
        </w:rPr>
        <w:t>, de choses qu’on ne peut qualifier ni de nature, ni de culture, mais des deux en même temps. Ainsi, dans notre rapport au non-humain, l’Anthropocène, avec l’implacable force des faits qu’il met en lien, révèle</w:t>
      </w:r>
      <w:r w:rsidR="00150FBA" w:rsidRPr="007D246C">
        <w:rPr>
          <w:rFonts w:ascii="Times New Roman" w:hAnsi="Times New Roman"/>
        </w:rPr>
        <w:t>nt</w:t>
      </w:r>
      <w:r w:rsidRPr="007D246C">
        <w:rPr>
          <w:rFonts w:ascii="Times New Roman" w:hAnsi="Times New Roman"/>
        </w:rPr>
        <w:t xml:space="preserve"> les limites d’une perspective opposant de manière exclusive nature et </w:t>
      </w:r>
      <w:r w:rsidR="008754F3" w:rsidRPr="007D246C">
        <w:rPr>
          <w:rFonts w:ascii="Times New Roman" w:hAnsi="Times New Roman"/>
        </w:rPr>
        <w:t>agri</w:t>
      </w:r>
      <w:r w:rsidRPr="007D246C">
        <w:rPr>
          <w:rFonts w:ascii="Times New Roman" w:hAnsi="Times New Roman"/>
        </w:rPr>
        <w:t>culture. Les mythes et les valeurs qui en résultent, ceux de liberté, de transcendance ou d’autodétermination sont dès lors contredits.</w:t>
      </w:r>
    </w:p>
    <w:p w14:paraId="07464E69" w14:textId="77777777" w:rsidR="003B71C8" w:rsidRPr="007D246C" w:rsidRDefault="003B71C8" w:rsidP="00150FBA">
      <w:pPr>
        <w:pStyle w:val="Standard"/>
        <w:spacing w:after="0" w:line="360" w:lineRule="auto"/>
        <w:contextualSpacing/>
        <w:jc w:val="both"/>
        <w:rPr>
          <w:rFonts w:ascii="Times New Roman" w:hAnsi="Times New Roman"/>
        </w:rPr>
      </w:pPr>
    </w:p>
    <w:p w14:paraId="3C264D17" w14:textId="67C46874"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Conjointement à un rapport au monde conçu ci-dessus dans une perspective d’ordre spatial, l’Anthropocène, en tant que concept géologique se référant à l’histoire de la Terre, questionne également les régimes historiques, nos manières de penser le temps et notre histoire. A l’époque moderne, l’histoire civilisationnelle a été articulée à celle des non-humains, c'est-à-dire à l’histoire naturelle, selon deux perspectives. D’abord, des penseurs tel que Leibniz ont conçue cette dernière comme un simple décor pour l’histoire civilisationnelle. Puis, des historiens comme Fernand Braudel</w:t>
      </w:r>
      <w:r w:rsidRPr="007D246C">
        <w:rPr>
          <w:rStyle w:val="Appelnotedebasdep"/>
          <w:rFonts w:ascii="Times New Roman" w:hAnsi="Times New Roman"/>
        </w:rPr>
        <w:footnoteReference w:id="14"/>
      </w:r>
      <w:r w:rsidRPr="007D246C">
        <w:rPr>
          <w:rFonts w:ascii="Times New Roman" w:hAnsi="Times New Roman"/>
        </w:rPr>
        <w:t xml:space="preserve"> ont envisagé ces deux histoires comme embo</w:t>
      </w:r>
      <w:r w:rsidR="00150FBA" w:rsidRPr="007D246C">
        <w:rPr>
          <w:rFonts w:ascii="Times New Roman" w:hAnsi="Times New Roman"/>
        </w:rPr>
        <w:t>i</w:t>
      </w:r>
      <w:r w:rsidRPr="007D246C">
        <w:rPr>
          <w:rFonts w:ascii="Times New Roman" w:hAnsi="Times New Roman"/>
        </w:rPr>
        <w:t>tées, mais non mêlées. Face au constat Anthropocène, à la profonde intrication des enjeux sociologiques et environnementaux, ce point de vue doit être révisé. Ainsi, l’historien Chakrab</w:t>
      </w:r>
      <w:r w:rsidR="00150FBA" w:rsidRPr="007D246C">
        <w:rPr>
          <w:rFonts w:ascii="Times New Roman" w:hAnsi="Times New Roman"/>
        </w:rPr>
        <w:t>ra</w:t>
      </w:r>
      <w:r w:rsidRPr="007D246C">
        <w:rPr>
          <w:rFonts w:ascii="Times New Roman" w:hAnsi="Times New Roman"/>
        </w:rPr>
        <w:t>ty</w:t>
      </w:r>
      <w:r w:rsidRPr="007D246C">
        <w:rPr>
          <w:rStyle w:val="Appelnotedebasdep"/>
          <w:rFonts w:ascii="Times New Roman" w:hAnsi="Times New Roman"/>
        </w:rPr>
        <w:footnoteReference w:id="15"/>
      </w:r>
      <w:r w:rsidRPr="007D246C">
        <w:rPr>
          <w:rFonts w:ascii="Times New Roman" w:hAnsi="Times New Roman"/>
        </w:rPr>
        <w:t xml:space="preserve"> plaide pour l’établissement d’une nouvelle histoire o</w:t>
      </w:r>
      <w:r w:rsidR="008754F3" w:rsidRPr="007D246C">
        <w:rPr>
          <w:rFonts w:ascii="Times New Roman" w:hAnsi="Times New Roman"/>
        </w:rPr>
        <w:t>u</w:t>
      </w:r>
      <w:r w:rsidRPr="007D246C">
        <w:rPr>
          <w:rFonts w:ascii="Times New Roman" w:hAnsi="Times New Roman"/>
        </w:rPr>
        <w:t xml:space="preserve"> l’histoire civilisationnelle et l’histoire naturelle devraient </w:t>
      </w:r>
      <w:r w:rsidRPr="007D246C">
        <w:rPr>
          <w:rFonts w:ascii="Times New Roman" w:hAnsi="Times New Roman"/>
        </w:rPr>
        <w:lastRenderedPageBreak/>
        <w:t>désormais être mélangées. Cet important auteur y voit en particulier pour les musées l’émergence d’un nouveau rôle dans ce domaine: celui de participer à la création de cette nouvelle histoire</w:t>
      </w:r>
      <w:r w:rsidRPr="007D246C">
        <w:rPr>
          <w:rStyle w:val="Appelnotedebasdep"/>
          <w:rFonts w:ascii="Times New Roman" w:hAnsi="Times New Roman"/>
        </w:rPr>
        <w:footnoteReference w:id="16"/>
      </w:r>
      <w:r w:rsidRPr="007D246C">
        <w:rPr>
          <w:rFonts w:ascii="Times New Roman" w:hAnsi="Times New Roman"/>
        </w:rPr>
        <w:t>.</w:t>
      </w:r>
    </w:p>
    <w:p w14:paraId="7DB92B0D" w14:textId="77777777" w:rsidR="003B71C8" w:rsidRPr="007D246C" w:rsidRDefault="003B71C8" w:rsidP="00150FBA">
      <w:pPr>
        <w:pStyle w:val="Standard"/>
        <w:spacing w:after="0" w:line="360" w:lineRule="auto"/>
        <w:contextualSpacing/>
        <w:jc w:val="both"/>
        <w:rPr>
          <w:rFonts w:ascii="Times New Roman" w:hAnsi="Times New Roman"/>
        </w:rPr>
      </w:pPr>
    </w:p>
    <w:p w14:paraId="24683C48" w14:textId="4DBC5DC8"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Ce constat se heurte cependant à des représentations du temps spécifiques et fortement liées à la pensée moderne. En Occident, cette vision du temps se caractérise par un temps sagittal, irréversible, marqué par l’idée de progression. De ce point de vue, la présentation de faits soulignant des pratiques environnementales délétères entra</w:t>
      </w:r>
      <w:r w:rsidR="008754F3" w:rsidRPr="007D246C">
        <w:rPr>
          <w:rFonts w:ascii="Times New Roman" w:hAnsi="Times New Roman"/>
        </w:rPr>
        <w:t>i</w:t>
      </w:r>
      <w:r w:rsidRPr="007D246C">
        <w:rPr>
          <w:rFonts w:ascii="Times New Roman" w:hAnsi="Times New Roman"/>
        </w:rPr>
        <w:t>ne automatiquement une forme de rejet fondée sur l’idée d’un retour en arrière, une perspective inenvisag</w:t>
      </w:r>
      <w:r w:rsidR="008754F3" w:rsidRPr="007D246C">
        <w:rPr>
          <w:rFonts w:ascii="Times New Roman" w:hAnsi="Times New Roman"/>
        </w:rPr>
        <w:t>e</w:t>
      </w:r>
      <w:r w:rsidRPr="007D246C">
        <w:rPr>
          <w:rFonts w:ascii="Times New Roman" w:hAnsi="Times New Roman"/>
        </w:rPr>
        <w:t>able dans le cadre de cette représentation fondamentale du temps. Au motif du progrès, autre valeur cardinale, les faits et savoirs rassemblés par le concept d’Anthropocène sont rejetés. L’idée d’un temps sagittal s’accompagne également d’une historicisation de la présence des humains sur Terre Au regard de l’histoire de la Terre, ce temps est extrêmement court et contraste fortement avec celui d’un monde-ressource aux temporalités variées, mais conçu le plus souvent selon un temps long</w:t>
      </w:r>
      <w:r w:rsidRPr="007D246C">
        <w:rPr>
          <w:rStyle w:val="Appelnotedebasdep"/>
          <w:rFonts w:ascii="Times New Roman" w:hAnsi="Times New Roman"/>
        </w:rPr>
        <w:footnoteReference w:id="17"/>
      </w:r>
      <w:r w:rsidRPr="007D246C">
        <w:rPr>
          <w:rFonts w:ascii="Times New Roman" w:hAnsi="Times New Roman"/>
        </w:rPr>
        <w:t>. De ce point de vue, les actions humaines sont perçues comme insignifiantes</w:t>
      </w:r>
      <w:r w:rsidRPr="007D246C">
        <w:rPr>
          <w:rStyle w:val="Appelnotedebasdep"/>
          <w:rFonts w:ascii="Times New Roman" w:hAnsi="Times New Roman"/>
        </w:rPr>
        <w:footnoteReference w:id="18"/>
      </w:r>
      <w:r w:rsidRPr="007D246C">
        <w:rPr>
          <w:rFonts w:ascii="Times New Roman" w:hAnsi="Times New Roman"/>
        </w:rPr>
        <w:t>, et nos représentations communes sont alors in</w:t>
      </w:r>
      <w:r w:rsidR="001E127D" w:rsidRPr="007D246C">
        <w:rPr>
          <w:rFonts w:ascii="Times New Roman" w:hAnsi="Times New Roman"/>
        </w:rPr>
        <w:t>e</w:t>
      </w:r>
      <w:r w:rsidRPr="007D246C">
        <w:rPr>
          <w:rFonts w:ascii="Times New Roman" w:hAnsi="Times New Roman"/>
        </w:rPr>
        <w:t>ptes à enraciner notre histoire dans celle du monde</w:t>
      </w:r>
      <w:r w:rsidRPr="007D246C">
        <w:rPr>
          <w:rFonts w:ascii="Times New Roman" w:hAnsi="Times New Roman"/>
          <w:vertAlign w:val="superscript"/>
        </w:rPr>
        <w:t>16</w:t>
      </w:r>
      <w:r w:rsidRPr="007D246C">
        <w:rPr>
          <w:rFonts w:ascii="Times New Roman" w:hAnsi="Times New Roman"/>
        </w:rPr>
        <w:t>. Là</w:t>
      </w:r>
      <w:r w:rsidR="00150FBA" w:rsidRPr="007D246C">
        <w:rPr>
          <w:rFonts w:ascii="Times New Roman" w:hAnsi="Times New Roman"/>
        </w:rPr>
        <w:t>-</w:t>
      </w:r>
      <w:r w:rsidRPr="007D246C">
        <w:rPr>
          <w:rFonts w:ascii="Times New Roman" w:hAnsi="Times New Roman"/>
        </w:rPr>
        <w:t>encore, les faits et savoirs scientifiques, qui plaident pour une histoire évolutive et contingente, marquée par le principe de coévolution entre les mondes biotiques et abiotiques, entrent en opposition avec nos mythes et valeurs. On peut citer en particulier celui de la transcendance, qui occulte l’usage sans limites des ressources fossiles nécessaire à son accomplissement.</w:t>
      </w:r>
    </w:p>
    <w:p w14:paraId="24FFE1A0" w14:textId="77777777" w:rsidR="003B71C8" w:rsidRPr="007D246C" w:rsidRDefault="003B71C8" w:rsidP="00150FBA">
      <w:pPr>
        <w:pStyle w:val="Standard"/>
        <w:spacing w:after="0" w:line="360" w:lineRule="auto"/>
        <w:contextualSpacing/>
        <w:jc w:val="both"/>
        <w:rPr>
          <w:rFonts w:ascii="Times New Roman" w:hAnsi="Times New Roman"/>
        </w:rPr>
      </w:pPr>
    </w:p>
    <w:p w14:paraId="3E5B9225" w14:textId="34742CFD"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L’Anthropocène mobilise des savoirs et des faits qui questionnent les limites de certaines valeurs centrales de la modernité. Ce décalage entre la réalité de la situation anthropocène et les moyens symboliques que nous possédons pour donner du sens au monde explique notre incapacité à rendre compte de la situation présente. En raison de l’enjeu primordial que représentent les conditions d’habitabilité qu’il implique, ainsi que de ses liens étroits avec les mythes et récits qui en sont à l’origine, l’Anthropocène constitue avant tout un signal dont les musées devraient tenir compte pour remplir leur rôle social face aux défis de notre époque et rendre la situation actuelle plus intelligible</w:t>
      </w:r>
      <w:r w:rsidR="00057D32" w:rsidRPr="007D246C">
        <w:rPr>
          <w:rFonts w:ascii="Times New Roman" w:hAnsi="Times New Roman"/>
        </w:rPr>
        <w:t>, et,</w:t>
      </w:r>
      <w:r w:rsidRPr="007D246C">
        <w:rPr>
          <w:rFonts w:ascii="Times New Roman" w:hAnsi="Times New Roman"/>
        </w:rPr>
        <w:t xml:space="preserve"> </w:t>
      </w:r>
      <w:r w:rsidR="00057D32" w:rsidRPr="007D246C">
        <w:rPr>
          <w:rFonts w:ascii="Times New Roman" w:hAnsi="Times New Roman"/>
        </w:rPr>
        <w:t>b</w:t>
      </w:r>
      <w:r w:rsidRPr="007D246C">
        <w:rPr>
          <w:rFonts w:ascii="Times New Roman" w:hAnsi="Times New Roman"/>
        </w:rPr>
        <w:t>ien plus fertile et profond que la notion de développement durable, l’Anthropocène ne constitue pas nécessairement un sujet en soi, mais plutôt un cadre pertinent et fécond pour la conception de projets.</w:t>
      </w:r>
    </w:p>
    <w:p w14:paraId="4A5F1A0C" w14:textId="77777777" w:rsidR="003B71C8" w:rsidRPr="007D246C" w:rsidRDefault="003B71C8" w:rsidP="00150FBA">
      <w:pPr>
        <w:pStyle w:val="Standard"/>
        <w:spacing w:after="0" w:line="360" w:lineRule="auto"/>
        <w:contextualSpacing/>
        <w:jc w:val="both"/>
        <w:rPr>
          <w:rFonts w:ascii="Times New Roman" w:hAnsi="Times New Roman"/>
        </w:rPr>
      </w:pPr>
    </w:p>
    <w:p w14:paraId="5A025D72" w14:textId="7438D728"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lastRenderedPageBreak/>
        <w:t xml:space="preserve">De cette manière, le musée traite à la fois de faits et de valeurs, risquant ainsi de compromettre sa neutralité. Pour dépasser cet </w:t>
      </w:r>
      <w:r w:rsidRPr="007D246C">
        <w:rPr>
          <w:rFonts w:ascii="Times New Roman" w:hAnsi="Times New Roman"/>
          <w:i/>
          <w:iCs/>
        </w:rPr>
        <w:t>a priori</w:t>
      </w:r>
      <w:r w:rsidRPr="007D246C">
        <w:rPr>
          <w:rFonts w:ascii="Times New Roman" w:hAnsi="Times New Roman"/>
        </w:rPr>
        <w:t>, il est possible de mettre en évidence la relation qui lie ces deux notions. On observe tout d’abord un premier mouvement allant des faits relatifs à l’Anthropocène vers les valeurs associées à notre cosmologie. C’est ce mouvement qui a été présenté ici et qui respecte le principe de neutralité axiologique, puisqu’il distingue clairement les faits des valeurs.</w:t>
      </w:r>
      <w:r w:rsidRPr="007D246C">
        <w:rPr>
          <w:rFonts w:ascii="Times New Roman" w:eastAsia="Times New Roman" w:hAnsi="Times New Roman" w:cs="Times New Roman"/>
          <w:sz w:val="24"/>
        </w:rPr>
        <w:t xml:space="preserve"> </w:t>
      </w:r>
      <w:r w:rsidRPr="007D246C">
        <w:rPr>
          <w:rFonts w:ascii="Times New Roman" w:hAnsi="Times New Roman"/>
        </w:rPr>
        <w:t>Le second mouvement, à l’inverse, va des valeurs vers les faits : la remise en question des limites de notre cosmologie interroge également certains mythes et récits fondateurs des sciences modernes qui ont produit le concept d’Anthropocène. Parmi ces récits figurent les dichotomies classiques de la modernité, telles que sujet/objet, nature/culture, corps/esprit ou encore fait/valeurs, qui sont précisément inscrites dans le principe même de neutralité axiologique.</w:t>
      </w:r>
      <w:r w:rsidRPr="007D246C">
        <w:rPr>
          <w:rFonts w:ascii="Times New Roman" w:eastAsia="Times New Roman" w:hAnsi="Times New Roman" w:cs="Times New Roman"/>
          <w:sz w:val="24"/>
        </w:rPr>
        <w:t xml:space="preserve"> </w:t>
      </w:r>
      <w:r w:rsidRPr="007D246C">
        <w:rPr>
          <w:rFonts w:ascii="Times New Roman" w:hAnsi="Times New Roman"/>
        </w:rPr>
        <w:t>Ce second mouvement a fait l’objet de nombreuses analyses épistémologiques qui, grâce à des approches historiques, anthropologiques et sociologiques, ont mis en évidence l’ancrage social de la production des connaissances. Pour autant, il ne s’agit pas de sombrer dans un relativisme total. Les savoirs produits conservent une grande valeur, notamment grâce à l’effort constant des scientifiques pour objectiver leurs travaux en les soumettant à une remise en question collective et concurrentielle permanente.</w:t>
      </w:r>
      <w:r w:rsidRPr="007D246C">
        <w:rPr>
          <w:rFonts w:ascii="Times New Roman" w:eastAsia="Times New Roman" w:hAnsi="Times New Roman" w:cs="Times New Roman"/>
          <w:sz w:val="24"/>
        </w:rPr>
        <w:t xml:space="preserve"> </w:t>
      </w:r>
      <w:r w:rsidRPr="007D246C">
        <w:rPr>
          <w:rFonts w:ascii="Times New Roman" w:hAnsi="Times New Roman"/>
        </w:rPr>
        <w:t>Il s’agit là d’une vertu épistémique essentielle, qui garantit la pertinence et la supériorité des faits relatifs à l’Anthropocène par rapport aux points de vue qui, à l’inverse, restent non questionnés ou motivés par des intérêts personnels. De ce point de vue, le mouvement allant des faits vers les valeurs prédomine et légitime une remise en question du naturalisme dans les projets des musées.</w:t>
      </w:r>
    </w:p>
    <w:p w14:paraId="1F6EF11A" w14:textId="77777777" w:rsidR="003B71C8" w:rsidRPr="007D246C" w:rsidRDefault="003B71C8" w:rsidP="00150FBA">
      <w:pPr>
        <w:pStyle w:val="Standard"/>
        <w:spacing w:after="0" w:line="360" w:lineRule="auto"/>
        <w:contextualSpacing/>
        <w:jc w:val="both"/>
        <w:rPr>
          <w:rFonts w:ascii="Times New Roman" w:hAnsi="Times New Roman"/>
        </w:rPr>
      </w:pPr>
    </w:p>
    <w:p w14:paraId="27C7CD9C" w14:textId="08A89808"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Pour atteindre cet objectif, le Musée, lieu reconnu de production et de diffusion des savoirs, ne peut se limiter à la diffusion des faits relatifs à la situation anthropocène. Pour des raisons didactiques bien identifiées</w:t>
      </w:r>
      <w:r w:rsidRPr="007D246C">
        <w:rPr>
          <w:rStyle w:val="Appelnotedebasdep"/>
          <w:rFonts w:ascii="Times New Roman" w:hAnsi="Times New Roman"/>
        </w:rPr>
        <w:footnoteReference w:id="19"/>
      </w:r>
      <w:r w:rsidRPr="007D246C">
        <w:rPr>
          <w:rFonts w:ascii="Times New Roman" w:hAnsi="Times New Roman"/>
        </w:rPr>
        <w:t>, la seule transmission de savoirs n’est pas suffisante si elle ne prend</w:t>
      </w:r>
      <w:r w:rsidR="00150FBA" w:rsidRPr="007D246C">
        <w:rPr>
          <w:rFonts w:ascii="Times New Roman" w:hAnsi="Times New Roman"/>
        </w:rPr>
        <w:t>s</w:t>
      </w:r>
      <w:r w:rsidRPr="007D246C">
        <w:rPr>
          <w:rFonts w:ascii="Times New Roman" w:hAnsi="Times New Roman"/>
        </w:rPr>
        <w:t xml:space="preserve"> en compte, les représentations culturelles partagées et qui font ici obstacles à la pleine apréhension de notre présent. Dès lors, le musée doit nécessairement enrichir les expériences de « partage de connaissances » par celles de « réflexion », deux notions issues de la définition du musée de l’ICOM. Cette réflexion peut porter sur les valeurs inhérentes au paradigme général du naturalisme, dans le cadre offert par l’Anthropocène. À ce titre, le musée occupe une position privilégiée pour jouer un rôle décisif pour une métamorphose culturelle</w:t>
      </w:r>
      <w:r w:rsidRPr="007D246C">
        <w:rPr>
          <w:rStyle w:val="Appelnotedebasdep"/>
          <w:rFonts w:ascii="Times New Roman" w:hAnsi="Times New Roman"/>
        </w:rPr>
        <w:footnoteReference w:id="20"/>
      </w:r>
      <w:r w:rsidRPr="007D246C">
        <w:rPr>
          <w:rFonts w:ascii="Times New Roman" w:hAnsi="Times New Roman"/>
        </w:rPr>
        <w:t>, en interrogeant la production des énoncés tout en proposant des démarches participatives et inclusives, où expériences et perspectives se rencontrent et se partagent.</w:t>
      </w:r>
    </w:p>
    <w:p w14:paraId="3727A26E" w14:textId="77777777" w:rsidR="00EA255C" w:rsidRPr="007D246C" w:rsidRDefault="00000000" w:rsidP="00150FBA">
      <w:pPr>
        <w:pStyle w:val="Titre1"/>
        <w:pageBreakBefore/>
        <w:spacing w:before="0" w:after="0" w:line="360" w:lineRule="auto"/>
        <w:contextualSpacing/>
      </w:pPr>
      <w:r w:rsidRPr="007D246C">
        <w:lastRenderedPageBreak/>
        <w:t>Légendes des figures</w:t>
      </w:r>
    </w:p>
    <w:p w14:paraId="068F17C0" w14:textId="77777777" w:rsidR="00EA255C" w:rsidRPr="007D246C" w:rsidRDefault="00000000" w:rsidP="00150FBA">
      <w:pPr>
        <w:pStyle w:val="Titre3"/>
        <w:spacing w:before="0" w:after="0" w:line="360" w:lineRule="auto"/>
        <w:contextualSpacing/>
        <w:rPr>
          <w:rFonts w:ascii="Times New Roman" w:hAnsi="Times New Roman"/>
        </w:rPr>
      </w:pPr>
      <w:r w:rsidRPr="007D246C">
        <w:rPr>
          <w:rFonts w:ascii="Times New Roman" w:hAnsi="Times New Roman"/>
        </w:rPr>
        <w:t>Galet</w:t>
      </w:r>
    </w:p>
    <w:p w14:paraId="3A8EE6A9" w14:textId="77777777"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Le galet de béton au centre de l’image se distingue des autres galets de rivière en ce qu’il est constitué de béton. Prélevé dans l’Avançon (commune de Bex, Suisse) afin d’intégrer la collection Anthropocène du Musée de la nature du Valais, il questionne notre relation au non-humain dans la mesure où il ne peut être classé selon le gabarit nature/culture. Il constitue en outre potentiellement une trace géologique à long terme et rappelle que les réflexions sur les relations au non-humain ne doivent pas se limiter au vivant et intégrer une dimension temporelle.</w:t>
      </w:r>
    </w:p>
    <w:p w14:paraId="1733A6EE" w14:textId="5885285A" w:rsidR="00EA255C" w:rsidRPr="007D246C" w:rsidRDefault="003B71C8" w:rsidP="00150FBA">
      <w:pPr>
        <w:pStyle w:val="Standard"/>
        <w:spacing w:after="0" w:line="360" w:lineRule="auto"/>
        <w:contextualSpacing/>
        <w:rPr>
          <w:rFonts w:ascii="Times New Roman" w:hAnsi="Times New Roman"/>
        </w:rPr>
      </w:pPr>
      <w:r w:rsidRPr="007D246C">
        <w:rPr>
          <w:rFonts w:ascii="Times New Roman" w:hAnsi="Times New Roman"/>
        </w:rPr>
        <w:t>© Musées cantonaux du Valais, Sion.</w:t>
      </w:r>
    </w:p>
    <w:p w14:paraId="50840A38" w14:textId="77777777" w:rsidR="003B71C8" w:rsidRPr="007D246C" w:rsidRDefault="003B71C8" w:rsidP="00150FBA">
      <w:pPr>
        <w:pStyle w:val="Standard"/>
        <w:spacing w:after="0" w:line="360" w:lineRule="auto"/>
        <w:contextualSpacing/>
        <w:rPr>
          <w:rFonts w:ascii="Times New Roman" w:hAnsi="Times New Roman"/>
        </w:rPr>
      </w:pPr>
    </w:p>
    <w:p w14:paraId="3397C184" w14:textId="77777777" w:rsidR="00EA255C" w:rsidRPr="007D246C" w:rsidRDefault="00000000" w:rsidP="00150FBA">
      <w:pPr>
        <w:pStyle w:val="Titre3"/>
        <w:spacing w:before="0" w:after="0" w:line="360" w:lineRule="auto"/>
        <w:contextualSpacing/>
        <w:rPr>
          <w:rFonts w:ascii="Times New Roman" w:hAnsi="Times New Roman"/>
        </w:rPr>
      </w:pPr>
      <w:r w:rsidRPr="007D246C">
        <w:rPr>
          <w:rFonts w:ascii="Times New Roman" w:hAnsi="Times New Roman"/>
        </w:rPr>
        <w:t>Poule</w:t>
      </w:r>
    </w:p>
    <w:p w14:paraId="5FE7C29D" w14:textId="77777777" w:rsidR="00EA255C" w:rsidRPr="007D246C" w:rsidRDefault="00000000" w:rsidP="00150FBA">
      <w:pPr>
        <w:pStyle w:val="Standard"/>
        <w:spacing w:after="0" w:line="360" w:lineRule="auto"/>
        <w:contextualSpacing/>
        <w:jc w:val="both"/>
        <w:rPr>
          <w:rFonts w:ascii="Times New Roman" w:hAnsi="Times New Roman"/>
        </w:rPr>
      </w:pPr>
      <w:r w:rsidRPr="007D246C">
        <w:rPr>
          <w:rFonts w:ascii="Times New Roman" w:hAnsi="Times New Roman"/>
        </w:rPr>
        <w:t>Poulet de chair de type Ross 308, caractérisé par une croissance très rapide, provenant d’une ferme d’élevage à Uvrier (commune de Sion, Suisse) et appartenant à la collection Anthropocène du Musée de la nature du Valais. Si l’on songe au fait que la poule n’existe pas dans le monde du non-humain, couramment appelé nature, et qu’elle est le résultat d’une sélection artificielle, alors on peut s’interroger sur le type de musée qui pourrait intégrer un tel patrimoine.</w:t>
      </w:r>
    </w:p>
    <w:p w14:paraId="7C5E162B" w14:textId="0769EDC0" w:rsidR="00EA255C" w:rsidRPr="007D246C" w:rsidRDefault="003B71C8" w:rsidP="00150FBA">
      <w:pPr>
        <w:pStyle w:val="Standard"/>
        <w:spacing w:after="0" w:line="360" w:lineRule="auto"/>
        <w:contextualSpacing/>
        <w:rPr>
          <w:rFonts w:ascii="Times New Roman" w:hAnsi="Times New Roman"/>
        </w:rPr>
      </w:pPr>
      <w:r w:rsidRPr="007D246C">
        <w:rPr>
          <w:rFonts w:ascii="Times New Roman" w:hAnsi="Times New Roman"/>
          <w:sz w:val="18"/>
          <w:szCs w:val="18"/>
        </w:rPr>
        <w:t>@</w:t>
      </w:r>
      <w:r w:rsidRPr="007D246C">
        <w:rPr>
          <w:rFonts w:ascii="Times New Roman" w:hAnsi="Times New Roman"/>
        </w:rPr>
        <w:t xml:space="preserve"> Musées cantonaux du Valais, Sion</w:t>
      </w:r>
    </w:p>
    <w:sectPr w:rsidR="00EA255C" w:rsidRPr="007D246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45DC6" w14:textId="77777777" w:rsidR="00BA51D1" w:rsidRDefault="00BA51D1">
      <w:r>
        <w:separator/>
      </w:r>
    </w:p>
  </w:endnote>
  <w:endnote w:type="continuationSeparator" w:id="0">
    <w:p w14:paraId="3A1DB890" w14:textId="77777777" w:rsidR="00BA51D1" w:rsidRDefault="00BA5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font>
  <w:font w:name="Noto Sans CJK SC">
    <w:panose1 w:val="020B0604020202020204"/>
    <w:charset w:val="00"/>
    <w:family w:val="auto"/>
    <w:pitch w:val="variable"/>
  </w:font>
  <w:font w:name="Noto Sans Devanagari">
    <w:panose1 w:val="020B0502040504020204"/>
    <w:charset w:val="00"/>
    <w:family w:val="swiss"/>
    <w:pitch w:val="variable"/>
    <w:sig w:usb0="80008023" w:usb1="00002046"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AFBEA" w14:textId="77777777" w:rsidR="00BA51D1" w:rsidRDefault="00BA51D1">
      <w:r>
        <w:rPr>
          <w:color w:val="000000"/>
        </w:rPr>
        <w:separator/>
      </w:r>
    </w:p>
  </w:footnote>
  <w:footnote w:type="continuationSeparator" w:id="0">
    <w:p w14:paraId="2AFA4D94" w14:textId="77777777" w:rsidR="00BA51D1" w:rsidRDefault="00BA51D1">
      <w:r>
        <w:continuationSeparator/>
      </w:r>
    </w:p>
  </w:footnote>
  <w:footnote w:id="1">
    <w:p w14:paraId="7BDBB403"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Bourg D. </w:t>
      </w:r>
      <w:r>
        <w:rPr>
          <w:rFonts w:ascii="Times New Roman" w:hAnsi="Times New Roman"/>
          <w:i/>
          <w:iCs/>
        </w:rPr>
        <w:t>Une nouvelle terre</w:t>
      </w:r>
      <w:r>
        <w:rPr>
          <w:rFonts w:ascii="Times New Roman" w:hAnsi="Times New Roman"/>
        </w:rPr>
        <w:t>. Paris : Desclée de Brouwer, 2018.</w:t>
      </w:r>
    </w:p>
    <w:p w14:paraId="3695C157" w14:textId="77777777" w:rsidR="00F2772C" w:rsidRDefault="00F2772C"/>
  </w:footnote>
  <w:footnote w:id="2">
    <w:p w14:paraId="2A26EFD0"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Krajcovicova E. et al. Deuxième rapport sur les avis des membres de l'ICOM pour une nouvelle définition du musée. Analyse et rapport indépendants élaborés pour le comité ICOM Define, 2021. https://icom.museum/wp-content/uploads/2021/12/FRENCH-1.pdf</w:t>
      </w:r>
    </w:p>
    <w:p w14:paraId="32CAC3CC" w14:textId="77777777" w:rsidR="00F2772C" w:rsidRDefault="00F2772C"/>
  </w:footnote>
  <w:footnote w:id="3">
    <w:p w14:paraId="27C63CA8"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Weber M., Freund J. </w:t>
      </w:r>
      <w:r>
        <w:rPr>
          <w:rFonts w:ascii="Times New Roman" w:hAnsi="Times New Roman"/>
          <w:i/>
          <w:iCs/>
        </w:rPr>
        <w:t>Essai sur le sens de la "neutralité axiologique" dans les sciences sociologiques et économiques</w:t>
      </w:r>
      <w:r>
        <w:rPr>
          <w:rFonts w:ascii="Times New Roman" w:hAnsi="Times New Roman"/>
        </w:rPr>
        <w:t>. Paris : Plon, 1965.</w:t>
      </w:r>
    </w:p>
    <w:p w14:paraId="7B11C0CF" w14:textId="77777777" w:rsidR="00F2772C" w:rsidRDefault="00F2772C"/>
  </w:footnote>
  <w:footnote w:id="4">
    <w:p w14:paraId="731EC5D9"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Steffen W. et al. The emergence and evolution of Earth System Science. </w:t>
      </w:r>
      <w:r>
        <w:rPr>
          <w:rFonts w:ascii="Times New Roman" w:hAnsi="Times New Roman"/>
          <w:i/>
          <w:iCs/>
        </w:rPr>
        <w:t>Nature Reviews Earth &amp; Environment</w:t>
      </w:r>
      <w:r>
        <w:rPr>
          <w:rFonts w:ascii="Times New Roman" w:hAnsi="Times New Roman"/>
        </w:rPr>
        <w:t>, 1, 2020.</w:t>
      </w:r>
    </w:p>
    <w:p w14:paraId="7E991163" w14:textId="77777777" w:rsidR="00F2772C" w:rsidRDefault="00F2772C"/>
  </w:footnote>
  <w:footnote w:id="5">
    <w:p w14:paraId="513CF109"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Crutzen P. Geology of mankind. Nature, 415, 2002.</w:t>
      </w:r>
    </w:p>
    <w:p w14:paraId="29F7B9AB" w14:textId="77777777" w:rsidR="00F2772C" w:rsidRDefault="00F2772C"/>
  </w:footnote>
  <w:footnote w:id="6">
    <w:p w14:paraId="1F9A8EF8"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Waters C. N. et al. The Anthropocene is functionally and stratigraphically distinct from the Holocene. </w:t>
      </w:r>
      <w:r>
        <w:rPr>
          <w:rFonts w:ascii="Times New Roman" w:hAnsi="Times New Roman"/>
          <w:i/>
          <w:iCs/>
        </w:rPr>
        <w:t>Science</w:t>
      </w:r>
      <w:r>
        <w:rPr>
          <w:rFonts w:ascii="Times New Roman" w:hAnsi="Times New Roman"/>
        </w:rPr>
        <w:t>, 351, 2016.</w:t>
      </w:r>
    </w:p>
    <w:p w14:paraId="076B7C44" w14:textId="77777777" w:rsidR="00F2772C" w:rsidRDefault="00F2772C"/>
  </w:footnote>
  <w:footnote w:id="7">
    <w:p w14:paraId="418AEAB6"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Witze A. It's final: the Anthropocene is not an epoch, despite protest over vote. </w:t>
      </w:r>
      <w:r>
        <w:rPr>
          <w:rFonts w:ascii="Times New Roman" w:hAnsi="Times New Roman"/>
          <w:i/>
          <w:iCs/>
        </w:rPr>
        <w:t>Nature</w:t>
      </w:r>
      <w:r>
        <w:rPr>
          <w:rFonts w:ascii="Times New Roman" w:hAnsi="Times New Roman"/>
        </w:rPr>
        <w:t>, 2024.</w:t>
      </w:r>
    </w:p>
    <w:p w14:paraId="095B0FD4" w14:textId="77777777" w:rsidR="00F2772C" w:rsidRDefault="00F2772C"/>
  </w:footnote>
  <w:footnote w:id="8">
    <w:p w14:paraId="057AE4FA" w14:textId="77777777" w:rsidR="00EA255C" w:rsidRDefault="00000000">
      <w:pPr>
        <w:pStyle w:val="Footnote"/>
      </w:pPr>
      <w:r>
        <w:rPr>
          <w:rStyle w:val="Appelnotedebasdep"/>
        </w:rPr>
        <w:footnoteRef/>
      </w:r>
      <w:r>
        <w:t xml:space="preserve"> </w:t>
      </w:r>
      <w:r>
        <w:rPr>
          <w:rFonts w:ascii="Times New Roman" w:hAnsi="Times New Roman"/>
        </w:rPr>
        <w:t xml:space="preserve">Waters C. N., Turner S. D., Zalasiewicz J., &amp; Head M. J. Candidate sites and other reference sections for the Global boundary Stratotype Section and Point of the Anthropocene series. </w:t>
      </w:r>
      <w:r>
        <w:rPr>
          <w:rFonts w:ascii="Times New Roman" w:hAnsi="Times New Roman"/>
          <w:i/>
          <w:iCs/>
        </w:rPr>
        <w:t>The Anthropocene Review</w:t>
      </w:r>
      <w:r>
        <w:rPr>
          <w:rFonts w:ascii="Times New Roman" w:hAnsi="Times New Roman"/>
        </w:rPr>
        <w:t>, 10(1), 2023.</w:t>
      </w:r>
    </w:p>
    <w:p w14:paraId="56AEFDB2" w14:textId="77777777" w:rsidR="00F2772C" w:rsidRDefault="00F2772C"/>
  </w:footnote>
  <w:footnote w:id="9">
    <w:p w14:paraId="12477C52" w14:textId="5B97F5E0" w:rsidR="00EA255C" w:rsidRDefault="00000000">
      <w:pPr>
        <w:pStyle w:val="Footnote"/>
        <w:rPr>
          <w:rFonts w:ascii="Times New Roman" w:hAnsi="Times New Roman"/>
        </w:rPr>
      </w:pPr>
      <w:r>
        <w:rPr>
          <w:rStyle w:val="Appelnotedebasdep"/>
        </w:rPr>
        <w:footnoteRef/>
      </w:r>
      <w:r>
        <w:rPr>
          <w:rFonts w:ascii="Times New Roman" w:hAnsi="Times New Roman"/>
        </w:rPr>
        <w:t xml:space="preserve"> </w:t>
      </w:r>
      <w:r w:rsidRPr="003B71C8">
        <w:rPr>
          <w:rFonts w:ascii="Times New Roman" w:hAnsi="Times New Roman"/>
          <w:u w:val="single"/>
        </w:rPr>
        <w:t>Zalasiewi</w:t>
      </w:r>
      <w:r w:rsidR="003B71C8" w:rsidRPr="003B71C8">
        <w:rPr>
          <w:rFonts w:ascii="Times New Roman" w:hAnsi="Times New Roman"/>
          <w:u w:val="single"/>
        </w:rPr>
        <w:t>z</w:t>
      </w:r>
      <w:r w:rsidRPr="003B71C8">
        <w:rPr>
          <w:rFonts w:ascii="Times New Roman" w:hAnsi="Times New Roman"/>
          <w:u w:val="single"/>
        </w:rPr>
        <w:t>cz</w:t>
      </w:r>
      <w:r>
        <w:rPr>
          <w:rFonts w:ascii="Times New Roman" w:hAnsi="Times New Roman"/>
        </w:rPr>
        <w:t xml:space="preserve"> J. et al. The meaning of the Anthropocene: why it matters even without a formal geological definition. </w:t>
      </w:r>
      <w:r>
        <w:rPr>
          <w:rFonts w:ascii="Times New Roman" w:hAnsi="Times New Roman"/>
          <w:i/>
          <w:iCs/>
        </w:rPr>
        <w:t>Nature</w:t>
      </w:r>
      <w:r>
        <w:rPr>
          <w:rFonts w:ascii="Times New Roman" w:hAnsi="Times New Roman"/>
        </w:rPr>
        <w:t>, 632, 2024.</w:t>
      </w:r>
    </w:p>
    <w:p w14:paraId="5B79036B" w14:textId="77777777" w:rsidR="00F2772C" w:rsidRDefault="00F2772C"/>
  </w:footnote>
  <w:footnote w:id="10">
    <w:p w14:paraId="4C851176"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Kramar N. Questionner les liens sociétés-terre. </w:t>
      </w:r>
      <w:r>
        <w:rPr>
          <w:rFonts w:ascii="Times New Roman" w:hAnsi="Times New Roman"/>
          <w:i/>
          <w:iCs/>
        </w:rPr>
        <w:t>La Lettre de l'OCIM</w:t>
      </w:r>
      <w:r>
        <w:rPr>
          <w:rFonts w:ascii="Times New Roman" w:hAnsi="Times New Roman"/>
        </w:rPr>
        <w:t>. 187, 2020.</w:t>
      </w:r>
    </w:p>
    <w:p w14:paraId="27FBC3CB" w14:textId="77777777" w:rsidR="00F2772C" w:rsidRDefault="00F2772C"/>
  </w:footnote>
  <w:footnote w:id="11">
    <w:p w14:paraId="00931A1E"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par ex. Berque A. La transition paysagère comme hypothèse de projection pour l'avenir de la nature. In : </w:t>
      </w:r>
      <w:r>
        <w:rPr>
          <w:rFonts w:ascii="Times New Roman" w:hAnsi="Times New Roman"/>
          <w:i/>
          <w:iCs/>
        </w:rPr>
        <w:t>Maîtres &amp; protecteurs de la nature</w:t>
      </w:r>
      <w:r>
        <w:rPr>
          <w:rFonts w:ascii="Times New Roman" w:hAnsi="Times New Roman"/>
        </w:rPr>
        <w:t>. Paris : Champ Vallon, 1991.</w:t>
      </w:r>
    </w:p>
    <w:p w14:paraId="265D9C6F" w14:textId="77777777" w:rsidR="00F2772C" w:rsidRDefault="00F2772C"/>
  </w:footnote>
  <w:footnote w:id="12">
    <w:p w14:paraId="70471641"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Descola P. </w:t>
      </w:r>
      <w:r>
        <w:rPr>
          <w:rFonts w:ascii="Times New Roman" w:hAnsi="Times New Roman"/>
          <w:i/>
          <w:iCs/>
        </w:rPr>
        <w:t>Par-delà nature et culture</w:t>
      </w:r>
      <w:r>
        <w:rPr>
          <w:rFonts w:ascii="Times New Roman" w:hAnsi="Times New Roman"/>
        </w:rPr>
        <w:t>. Paris : Gallimard, 2006.</w:t>
      </w:r>
    </w:p>
    <w:p w14:paraId="722DAF56" w14:textId="77777777" w:rsidR="00F2772C" w:rsidRDefault="00F2772C"/>
  </w:footnote>
  <w:footnote w:id="13">
    <w:p w14:paraId="5DAC7817"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Latour B. </w:t>
      </w:r>
      <w:r>
        <w:rPr>
          <w:rFonts w:ascii="Times New Roman" w:hAnsi="Times New Roman"/>
          <w:i/>
          <w:iCs/>
        </w:rPr>
        <w:t>Nous n'avons jamais été modernes : essai d'anthropologie symétrique</w:t>
      </w:r>
      <w:r>
        <w:rPr>
          <w:rFonts w:ascii="Times New Roman" w:hAnsi="Times New Roman"/>
        </w:rPr>
        <w:t>. Paris : La découverte, 2006.</w:t>
      </w:r>
    </w:p>
    <w:p w14:paraId="3C880251" w14:textId="77777777" w:rsidR="00F2772C" w:rsidRDefault="00F2772C"/>
  </w:footnote>
  <w:footnote w:id="14">
    <w:p w14:paraId="48CDAFD9"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Federau A. </w:t>
      </w:r>
      <w:r>
        <w:rPr>
          <w:rFonts w:ascii="Times New Roman" w:hAnsi="Times New Roman"/>
          <w:i/>
          <w:iCs/>
        </w:rPr>
        <w:t>Pour une philosophie de l'Anthropocène</w:t>
      </w:r>
      <w:r>
        <w:rPr>
          <w:rFonts w:ascii="Times New Roman" w:hAnsi="Times New Roman"/>
        </w:rPr>
        <w:t>. Paris : PUF, 2017.</w:t>
      </w:r>
    </w:p>
    <w:p w14:paraId="15DFEA2E" w14:textId="77777777" w:rsidR="00F2772C" w:rsidRDefault="00F2772C"/>
  </w:footnote>
  <w:footnote w:id="15">
    <w:p w14:paraId="4A27B217"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Chakrabarty D. The Climate of History: Four Theses. </w:t>
      </w:r>
      <w:r>
        <w:rPr>
          <w:rFonts w:ascii="Times New Roman" w:hAnsi="Times New Roman"/>
          <w:i/>
          <w:iCs/>
        </w:rPr>
        <w:t>Critical Inquiry</w:t>
      </w:r>
      <w:r>
        <w:rPr>
          <w:rFonts w:ascii="Times New Roman" w:hAnsi="Times New Roman"/>
        </w:rPr>
        <w:t>, 35, 2009.</w:t>
      </w:r>
    </w:p>
    <w:p w14:paraId="6FE7EBDA" w14:textId="77777777" w:rsidR="00F2772C" w:rsidRDefault="00F2772C"/>
  </w:footnote>
  <w:footnote w:id="16">
    <w:p w14:paraId="2F4FFFAF"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Chakrabarty D. Museums between globalisation and the Anthropocene. </w:t>
      </w:r>
      <w:r>
        <w:rPr>
          <w:rFonts w:ascii="Times New Roman" w:hAnsi="Times New Roman"/>
          <w:i/>
          <w:iCs/>
        </w:rPr>
        <w:t>Museum International</w:t>
      </w:r>
      <w:r>
        <w:rPr>
          <w:rFonts w:ascii="Times New Roman" w:hAnsi="Times New Roman"/>
        </w:rPr>
        <w:t>, 71, 2019.</w:t>
      </w:r>
    </w:p>
    <w:p w14:paraId="2B10AF39" w14:textId="77777777" w:rsidR="00F2772C" w:rsidRDefault="00F2772C"/>
  </w:footnote>
  <w:footnote w:id="17">
    <w:p w14:paraId="3A1EDE98"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Kramar N., Oliveira G. Quelle(s) histoire(s) au regard de l'Anthropocène ? </w:t>
      </w:r>
      <w:r>
        <w:rPr>
          <w:rFonts w:ascii="Times New Roman" w:hAnsi="Times New Roman"/>
          <w:i/>
          <w:iCs/>
        </w:rPr>
        <w:t>Didactica Historica</w:t>
      </w:r>
      <w:r>
        <w:rPr>
          <w:rFonts w:ascii="Times New Roman" w:hAnsi="Times New Roman"/>
        </w:rPr>
        <w:t>, 7, 2021.</w:t>
      </w:r>
    </w:p>
    <w:p w14:paraId="4D4E5299" w14:textId="77777777" w:rsidR="00F2772C" w:rsidRDefault="00F2772C"/>
  </w:footnote>
  <w:footnote w:id="18">
    <w:p w14:paraId="50C38834" w14:textId="77777777" w:rsidR="00EA255C" w:rsidRDefault="00000000">
      <w:pPr>
        <w:pStyle w:val="Footnote"/>
        <w:rPr>
          <w:rFonts w:ascii="Times New Roman" w:hAnsi="Times New Roman"/>
        </w:rPr>
      </w:pPr>
      <w:r>
        <w:rPr>
          <w:rStyle w:val="Appelnotedebasdep"/>
        </w:rPr>
        <w:footnoteRef/>
      </w:r>
      <w:r>
        <w:rPr>
          <w:rFonts w:ascii="Times New Roman" w:hAnsi="Times New Roman"/>
        </w:rPr>
        <w:t xml:space="preserve"> Bjornerud M. </w:t>
      </w:r>
      <w:r>
        <w:rPr>
          <w:rFonts w:ascii="Times New Roman" w:hAnsi="Times New Roman"/>
          <w:i/>
          <w:iCs/>
        </w:rPr>
        <w:t>Timefulness: How Thinking Like a Geologist Can Help Save the World</w:t>
      </w:r>
      <w:r>
        <w:rPr>
          <w:rFonts w:ascii="Times New Roman" w:hAnsi="Times New Roman"/>
        </w:rPr>
        <w:t>. Princeton : Princeton University Press, 2018.</w:t>
      </w:r>
    </w:p>
    <w:p w14:paraId="784D1DCF" w14:textId="77777777" w:rsidR="00F2772C" w:rsidRDefault="00F2772C"/>
  </w:footnote>
  <w:footnote w:id="19">
    <w:p w14:paraId="417D961F" w14:textId="77777777" w:rsidR="00EA255C" w:rsidRDefault="00000000">
      <w:pPr>
        <w:pStyle w:val="Standard"/>
        <w:rPr>
          <w:rFonts w:ascii="Times New Roman" w:hAnsi="Times New Roman"/>
          <w:sz w:val="20"/>
          <w:szCs w:val="20"/>
        </w:rPr>
      </w:pPr>
      <w:r>
        <w:rPr>
          <w:rStyle w:val="Appelnotedebasdep"/>
        </w:rPr>
        <w:footnoteRef/>
      </w:r>
      <w:r>
        <w:rPr>
          <w:rFonts w:ascii="Times New Roman" w:hAnsi="Times New Roman"/>
          <w:sz w:val="20"/>
          <w:szCs w:val="20"/>
        </w:rPr>
        <w:t xml:space="preserve"> Giordan A. </w:t>
      </w:r>
      <w:r>
        <w:rPr>
          <w:rFonts w:ascii="Times New Roman" w:hAnsi="Times New Roman"/>
          <w:i/>
          <w:iCs/>
          <w:sz w:val="20"/>
          <w:szCs w:val="20"/>
        </w:rPr>
        <w:t>Apprendre!</w:t>
      </w:r>
      <w:r>
        <w:rPr>
          <w:rFonts w:ascii="Times New Roman" w:hAnsi="Times New Roman"/>
          <w:sz w:val="20"/>
          <w:szCs w:val="20"/>
        </w:rPr>
        <w:t xml:space="preserve"> Paris : Belin, 1998.</w:t>
      </w:r>
    </w:p>
    <w:p w14:paraId="09F4E9C6" w14:textId="77777777" w:rsidR="00F2772C" w:rsidRDefault="00F2772C"/>
  </w:footnote>
  <w:footnote w:id="20">
    <w:p w14:paraId="13B9017C" w14:textId="784C633E" w:rsidR="00EA255C" w:rsidRDefault="00000000">
      <w:pPr>
        <w:pStyle w:val="Footnote"/>
        <w:rPr>
          <w:rFonts w:ascii="Times New Roman" w:hAnsi="Times New Roman"/>
        </w:rPr>
      </w:pPr>
      <w:r>
        <w:rPr>
          <w:rStyle w:val="Appelnotedebasdep"/>
        </w:rPr>
        <w:footnoteRef/>
      </w:r>
      <w:r>
        <w:rPr>
          <w:rFonts w:ascii="Times New Roman" w:hAnsi="Times New Roman"/>
        </w:rPr>
        <w:t xml:space="preserve"> Morin E. Eloge de la métamorphose. </w:t>
      </w:r>
      <w:r>
        <w:rPr>
          <w:rFonts w:ascii="Times New Roman" w:hAnsi="Times New Roman"/>
          <w:i/>
          <w:iCs/>
        </w:rPr>
        <w:t>Le Monde</w:t>
      </w:r>
      <w:r>
        <w:rPr>
          <w:rFonts w:ascii="Times New Roman" w:hAnsi="Times New Roman"/>
        </w:rPr>
        <w:t>, 2010. https://www.lemonde.fr/idees/article/2010/01/09/eloge-de-la-metamorphose-par-edgar-morin_1289625_</w:t>
      </w:r>
      <w:r w:rsidRPr="003B71C8">
        <w:rPr>
          <w:rFonts w:ascii="Times New Roman" w:hAnsi="Times New Roman"/>
          <w:b/>
          <w:bCs/>
          <w:u w:val="single"/>
        </w:rPr>
        <w:t>3</w:t>
      </w:r>
      <w:r w:rsidR="003B71C8" w:rsidRPr="003B71C8">
        <w:rPr>
          <w:rFonts w:ascii="Times New Roman" w:hAnsi="Times New Roman"/>
          <w:b/>
          <w:bCs/>
          <w:u w:val="single"/>
        </w:rPr>
        <w:t>1</w:t>
      </w:r>
      <w:r w:rsidRPr="003B71C8">
        <w:rPr>
          <w:rFonts w:ascii="Times New Roman" w:hAnsi="Times New Roman"/>
          <w:b/>
          <w:bCs/>
          <w:u w:val="single"/>
        </w:rPr>
        <w:t>32</w:t>
      </w:r>
      <w:r>
        <w:rPr>
          <w:rFonts w:ascii="Times New Roman" w:hAnsi="Times New Roman"/>
        </w:rPr>
        <w:t>.html</w:t>
      </w:r>
    </w:p>
    <w:p w14:paraId="3B7AC07F" w14:textId="77777777" w:rsidR="00F2772C" w:rsidRDefault="00F277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2B0CD2"/>
    <w:multiLevelType w:val="multilevel"/>
    <w:tmpl w:val="E7ECCEA6"/>
    <w:styleLink w:val="Aucuneliste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617489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55C"/>
    <w:rsid w:val="00057D32"/>
    <w:rsid w:val="000B0118"/>
    <w:rsid w:val="000F587E"/>
    <w:rsid w:val="00150FBA"/>
    <w:rsid w:val="001E127D"/>
    <w:rsid w:val="003B71C8"/>
    <w:rsid w:val="003F3882"/>
    <w:rsid w:val="005E4FD1"/>
    <w:rsid w:val="006A316D"/>
    <w:rsid w:val="006D2CF6"/>
    <w:rsid w:val="007D246C"/>
    <w:rsid w:val="007E367D"/>
    <w:rsid w:val="008754F3"/>
    <w:rsid w:val="00BA51D1"/>
    <w:rsid w:val="00C02B25"/>
    <w:rsid w:val="00D87670"/>
    <w:rsid w:val="00DF1A90"/>
    <w:rsid w:val="00EA255C"/>
    <w:rsid w:val="00F277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29A5F04A"/>
  <w15:docId w15:val="{DD496F08-9039-AD46-A712-1E83CECDD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Standard"/>
    <w:next w:val="Standard"/>
    <w:uiPriority w:val="9"/>
    <w:qFormat/>
    <w:pPr>
      <w:keepNext/>
      <w:keepLines/>
      <w:spacing w:before="360" w:after="80"/>
      <w:outlineLvl w:val="0"/>
    </w:pPr>
    <w:rPr>
      <w:color w:val="0F4761"/>
      <w:sz w:val="40"/>
      <w:szCs w:val="40"/>
    </w:rPr>
  </w:style>
  <w:style w:type="paragraph" w:styleId="Titre2">
    <w:name w:val="heading 2"/>
    <w:basedOn w:val="Standard"/>
    <w:next w:val="Standard"/>
    <w:uiPriority w:val="9"/>
    <w:unhideWhenUsed/>
    <w:qFormat/>
    <w:pPr>
      <w:keepNext/>
      <w:keepLines/>
      <w:spacing w:before="160" w:after="80"/>
      <w:outlineLvl w:val="1"/>
    </w:pPr>
    <w:rPr>
      <w:color w:val="0F4761"/>
      <w:sz w:val="32"/>
      <w:szCs w:val="32"/>
    </w:rPr>
  </w:style>
  <w:style w:type="paragraph" w:styleId="Titre3">
    <w:name w:val="heading 3"/>
    <w:basedOn w:val="Standard"/>
    <w:next w:val="Standard"/>
    <w:uiPriority w:val="9"/>
    <w:unhideWhenUsed/>
    <w:qFormat/>
    <w:pPr>
      <w:keepNext/>
      <w:keepLines/>
      <w:spacing w:before="160" w:after="80"/>
      <w:outlineLvl w:val="2"/>
    </w:pPr>
    <w:rPr>
      <w:color w:val="0F4761"/>
      <w:sz w:val="28"/>
      <w:szCs w:val="28"/>
    </w:rPr>
  </w:style>
  <w:style w:type="paragraph" w:styleId="Titre4">
    <w:name w:val="heading 4"/>
    <w:basedOn w:val="Standard"/>
    <w:next w:val="Standard"/>
    <w:uiPriority w:val="9"/>
    <w:semiHidden/>
    <w:unhideWhenUsed/>
    <w:qFormat/>
    <w:pPr>
      <w:keepNext/>
      <w:keepLines/>
      <w:spacing w:before="80" w:after="40"/>
      <w:outlineLvl w:val="3"/>
    </w:pPr>
    <w:rPr>
      <w:i/>
      <w:iCs/>
      <w:color w:val="0F4761"/>
    </w:rPr>
  </w:style>
  <w:style w:type="paragraph" w:styleId="Titre5">
    <w:name w:val="heading 5"/>
    <w:basedOn w:val="Standard"/>
    <w:next w:val="Standard"/>
    <w:uiPriority w:val="9"/>
    <w:semiHidden/>
    <w:unhideWhenUsed/>
    <w:qFormat/>
    <w:pPr>
      <w:keepNext/>
      <w:keepLines/>
      <w:spacing w:before="80" w:after="40"/>
      <w:outlineLvl w:val="4"/>
    </w:pPr>
    <w:rPr>
      <w:color w:val="0F4761"/>
    </w:rPr>
  </w:style>
  <w:style w:type="paragraph" w:styleId="Titre6">
    <w:name w:val="heading 6"/>
    <w:basedOn w:val="Standard"/>
    <w:next w:val="Standard"/>
    <w:uiPriority w:val="9"/>
    <w:semiHidden/>
    <w:unhideWhenUsed/>
    <w:qFormat/>
    <w:pPr>
      <w:keepNext/>
      <w:keepLines/>
      <w:spacing w:before="40" w:after="0"/>
      <w:outlineLvl w:val="5"/>
    </w:pPr>
    <w:rPr>
      <w:i/>
      <w:iCs/>
      <w:color w:val="595959"/>
    </w:rPr>
  </w:style>
  <w:style w:type="paragraph" w:styleId="Titre7">
    <w:name w:val="heading 7"/>
    <w:basedOn w:val="Standard"/>
    <w:next w:val="Standard"/>
    <w:pPr>
      <w:keepNext/>
      <w:keepLines/>
      <w:spacing w:before="40" w:after="0"/>
      <w:outlineLvl w:val="6"/>
    </w:pPr>
    <w:rPr>
      <w:color w:val="595959"/>
    </w:rPr>
  </w:style>
  <w:style w:type="paragraph" w:styleId="Titre8">
    <w:name w:val="heading 8"/>
    <w:basedOn w:val="Standard"/>
    <w:next w:val="Standard"/>
    <w:pPr>
      <w:keepNext/>
      <w:keepLines/>
      <w:spacing w:after="0"/>
      <w:outlineLvl w:val="7"/>
    </w:pPr>
    <w:rPr>
      <w:i/>
      <w:iCs/>
      <w:color w:val="272727"/>
    </w:rPr>
  </w:style>
  <w:style w:type="paragraph" w:styleId="Titre9">
    <w:name w:val="heading 9"/>
    <w:basedOn w:val="Standard"/>
    <w:next w:val="Standard"/>
    <w:pPr>
      <w:keepNext/>
      <w:keepLines/>
      <w:spacing w:after="0"/>
      <w:outlineLvl w:val="8"/>
    </w:pPr>
    <w:rPr>
      <w:i/>
      <w:iCs/>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Liberation Sans" w:eastAsia="Noto Sans CJK SC" w:hAnsi="Liberation Sans" w:cs="Noto Sans Devanagari"/>
      <w:sz w:val="28"/>
      <w:szCs w:val="28"/>
    </w:rPr>
  </w:style>
  <w:style w:type="paragraph" w:customStyle="1" w:styleId="Textbody">
    <w:name w:val="Text body"/>
    <w:basedOn w:val="Standard"/>
    <w:pPr>
      <w:spacing w:after="140"/>
    </w:pPr>
  </w:style>
  <w:style w:type="paragraph" w:styleId="Liste">
    <w:name w:val="List"/>
    <w:basedOn w:val="Textbody"/>
    <w:rPr>
      <w:rFonts w:cs="Noto Sans Devanagari"/>
      <w:sz w:val="24"/>
    </w:rPr>
  </w:style>
  <w:style w:type="paragraph" w:styleId="Lgende">
    <w:name w:val="caption"/>
    <w:basedOn w:val="Standard"/>
    <w:next w:val="Standard"/>
    <w:pPr>
      <w:spacing w:line="240" w:lineRule="auto"/>
    </w:pPr>
    <w:rPr>
      <w:i/>
      <w:iCs/>
      <w:color w:val="0E2841"/>
      <w:sz w:val="18"/>
      <w:szCs w:val="18"/>
    </w:rPr>
  </w:style>
  <w:style w:type="paragraph" w:customStyle="1" w:styleId="Index">
    <w:name w:val="Index"/>
    <w:basedOn w:val="Standard"/>
    <w:pPr>
      <w:suppressLineNumbers/>
    </w:pPr>
    <w:rPr>
      <w:rFonts w:cs="Noto Sans Devanagari"/>
      <w:sz w:val="24"/>
    </w:rPr>
  </w:style>
  <w:style w:type="paragraph" w:styleId="Titre">
    <w:name w:val="Title"/>
    <w:basedOn w:val="Standard"/>
    <w:next w:val="Standard"/>
    <w:uiPriority w:val="10"/>
    <w:qFormat/>
    <w:pPr>
      <w:spacing w:after="80" w:line="240" w:lineRule="auto"/>
      <w:contextualSpacing/>
    </w:pPr>
    <w:rPr>
      <w:spacing w:val="-10"/>
      <w:sz w:val="56"/>
      <w:szCs w:val="56"/>
    </w:rPr>
  </w:style>
  <w:style w:type="paragraph" w:styleId="Sous-titre">
    <w:name w:val="Subtitle"/>
    <w:basedOn w:val="Standard"/>
    <w:next w:val="Standard"/>
    <w:uiPriority w:val="11"/>
    <w:qFormat/>
    <w:rPr>
      <w:color w:val="595959"/>
      <w:spacing w:val="15"/>
      <w:sz w:val="28"/>
      <w:szCs w:val="28"/>
    </w:rPr>
  </w:style>
  <w:style w:type="paragraph" w:styleId="Citation">
    <w:name w:val="Quote"/>
    <w:basedOn w:val="Standard"/>
    <w:next w:val="Standard"/>
    <w:pPr>
      <w:spacing w:before="160"/>
      <w:jc w:val="center"/>
    </w:pPr>
    <w:rPr>
      <w:i/>
      <w:iCs/>
      <w:color w:val="404040"/>
    </w:rPr>
  </w:style>
  <w:style w:type="paragraph" w:styleId="Citationintense">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paragraph" w:customStyle="1" w:styleId="HeaderandFooter">
    <w:name w:val="Header and Footer"/>
    <w:basedOn w:val="Standard"/>
  </w:style>
  <w:style w:type="paragraph" w:styleId="En-tte">
    <w:name w:val="header"/>
    <w:basedOn w:val="Standard"/>
    <w:pPr>
      <w:tabs>
        <w:tab w:val="center" w:pos="4844"/>
        <w:tab w:val="right" w:pos="9689"/>
      </w:tabs>
      <w:spacing w:after="0" w:line="240" w:lineRule="auto"/>
    </w:pPr>
  </w:style>
  <w:style w:type="paragraph" w:styleId="Pieddepage">
    <w:name w:val="footer"/>
    <w:basedOn w:val="Standard"/>
    <w:pPr>
      <w:tabs>
        <w:tab w:val="center" w:pos="4844"/>
        <w:tab w:val="right" w:pos="9689"/>
      </w:tabs>
      <w:spacing w:after="0" w:line="240" w:lineRule="auto"/>
    </w:pPr>
  </w:style>
  <w:style w:type="paragraph" w:customStyle="1" w:styleId="Footnote">
    <w:name w:val="Footnote"/>
    <w:basedOn w:val="Standard"/>
    <w:pPr>
      <w:spacing w:after="0" w:line="240" w:lineRule="auto"/>
    </w:pPr>
    <w:rPr>
      <w:sz w:val="20"/>
      <w:szCs w:val="20"/>
    </w:rPr>
  </w:style>
  <w:style w:type="paragraph" w:customStyle="1" w:styleId="Endnote">
    <w:name w:val="Endnote"/>
    <w:basedOn w:val="Standard"/>
    <w:pPr>
      <w:spacing w:after="0" w:line="240" w:lineRule="auto"/>
    </w:pPr>
    <w:rPr>
      <w:sz w:val="20"/>
      <w:szCs w:val="20"/>
    </w:rPr>
  </w:style>
  <w:style w:type="paragraph" w:customStyle="1" w:styleId="Contents1">
    <w:name w:val="Contents 1"/>
    <w:basedOn w:val="Standard"/>
    <w:next w:val="Standard"/>
    <w:pPr>
      <w:spacing w:after="100"/>
    </w:pPr>
  </w:style>
  <w:style w:type="paragraph" w:customStyle="1" w:styleId="Contents2">
    <w:name w:val="Contents 2"/>
    <w:basedOn w:val="Standard"/>
    <w:next w:val="Standard"/>
    <w:pPr>
      <w:spacing w:after="100"/>
      <w:ind w:left="220"/>
    </w:pPr>
  </w:style>
  <w:style w:type="paragraph" w:customStyle="1" w:styleId="Contents3">
    <w:name w:val="Contents 3"/>
    <w:basedOn w:val="Standard"/>
    <w:next w:val="Standard"/>
    <w:pPr>
      <w:spacing w:after="100"/>
      <w:ind w:left="440"/>
    </w:pPr>
  </w:style>
  <w:style w:type="paragraph" w:customStyle="1" w:styleId="Contents4">
    <w:name w:val="Contents 4"/>
    <w:basedOn w:val="Standard"/>
    <w:next w:val="Standard"/>
    <w:pPr>
      <w:spacing w:after="100"/>
      <w:ind w:left="660"/>
    </w:pPr>
  </w:style>
  <w:style w:type="paragraph" w:customStyle="1" w:styleId="Contents5">
    <w:name w:val="Contents 5"/>
    <w:basedOn w:val="Standard"/>
    <w:next w:val="Standard"/>
    <w:pPr>
      <w:spacing w:after="100"/>
      <w:ind w:left="880"/>
    </w:pPr>
  </w:style>
  <w:style w:type="paragraph" w:customStyle="1" w:styleId="Contents6">
    <w:name w:val="Contents 6"/>
    <w:basedOn w:val="Standard"/>
    <w:next w:val="Standard"/>
    <w:pPr>
      <w:spacing w:after="100"/>
      <w:ind w:left="1100"/>
    </w:pPr>
  </w:style>
  <w:style w:type="paragraph" w:customStyle="1" w:styleId="Contents7">
    <w:name w:val="Contents 7"/>
    <w:basedOn w:val="Standard"/>
    <w:next w:val="Standard"/>
    <w:pPr>
      <w:spacing w:after="100"/>
      <w:ind w:left="1320"/>
    </w:pPr>
  </w:style>
  <w:style w:type="paragraph" w:customStyle="1" w:styleId="Contents8">
    <w:name w:val="Contents 8"/>
    <w:basedOn w:val="Standard"/>
    <w:next w:val="Standard"/>
    <w:pPr>
      <w:spacing w:after="100"/>
      <w:ind w:left="1540"/>
    </w:pPr>
  </w:style>
  <w:style w:type="paragraph" w:customStyle="1" w:styleId="Contents9">
    <w:name w:val="Contents 9"/>
    <w:basedOn w:val="Standard"/>
    <w:next w:val="Standard"/>
    <w:pPr>
      <w:spacing w:after="100"/>
      <w:ind w:left="1760"/>
    </w:pPr>
  </w:style>
  <w:style w:type="paragraph" w:styleId="Titreindex">
    <w:name w:val="index heading"/>
    <w:basedOn w:val="Heading"/>
  </w:style>
  <w:style w:type="paragraph" w:customStyle="1" w:styleId="ContentsHeading">
    <w:name w:val="Contents Heading"/>
    <w:pPr>
      <w:widowControl/>
      <w:spacing w:after="200" w:line="276" w:lineRule="auto"/>
    </w:pPr>
  </w:style>
  <w:style w:type="paragraph" w:customStyle="1" w:styleId="FigureIndex1">
    <w:name w:val="Figure Index 1"/>
    <w:basedOn w:val="Standard"/>
    <w:next w:val="Standard"/>
    <w:pPr>
      <w:spacing w:after="0"/>
    </w:pPr>
  </w:style>
  <w:style w:type="paragraph" w:styleId="Sansinterligne">
    <w:name w:val="No Spacing"/>
    <w:basedOn w:val="Standard"/>
    <w:pPr>
      <w:spacing w:after="0" w:line="240" w:lineRule="auto"/>
    </w:pPr>
  </w:style>
  <w:style w:type="paragraph" w:styleId="Paragraphedeliste">
    <w:name w:val="List Paragraph"/>
    <w:basedOn w:val="Standard"/>
    <w:pPr>
      <w:ind w:left="720"/>
      <w:contextualSpacing/>
    </w:pPr>
  </w:style>
  <w:style w:type="character" w:customStyle="1" w:styleId="Heading1Char">
    <w:name w:val="Heading 1 Char"/>
    <w:basedOn w:val="Policepardfaut"/>
    <w:rPr>
      <w:rFonts w:ascii="Arial" w:eastAsia="Arial" w:hAnsi="Arial" w:cs="Arial"/>
      <w:color w:val="0F4761"/>
      <w:sz w:val="40"/>
      <w:szCs w:val="40"/>
    </w:rPr>
  </w:style>
  <w:style w:type="character" w:customStyle="1" w:styleId="Heading2Char">
    <w:name w:val="Heading 2 Char"/>
    <w:basedOn w:val="Policepardfaut"/>
    <w:rPr>
      <w:rFonts w:ascii="Arial" w:eastAsia="Arial" w:hAnsi="Arial" w:cs="Arial"/>
      <w:color w:val="0F4761"/>
      <w:sz w:val="32"/>
      <w:szCs w:val="32"/>
    </w:rPr>
  </w:style>
  <w:style w:type="character" w:customStyle="1" w:styleId="Heading3Char">
    <w:name w:val="Heading 3 Char"/>
    <w:basedOn w:val="Policepardfaut"/>
    <w:rPr>
      <w:rFonts w:ascii="Arial" w:eastAsia="Arial" w:hAnsi="Arial" w:cs="Arial"/>
      <w:color w:val="0F4761"/>
      <w:sz w:val="28"/>
      <w:szCs w:val="28"/>
    </w:rPr>
  </w:style>
  <w:style w:type="character" w:customStyle="1" w:styleId="Heading4Char">
    <w:name w:val="Heading 4 Char"/>
    <w:basedOn w:val="Policepardfaut"/>
    <w:rPr>
      <w:rFonts w:ascii="Arial" w:eastAsia="Arial" w:hAnsi="Arial" w:cs="Arial"/>
      <w:i/>
      <w:iCs/>
      <w:color w:val="0F4761"/>
    </w:rPr>
  </w:style>
  <w:style w:type="character" w:customStyle="1" w:styleId="Heading5Char">
    <w:name w:val="Heading 5 Char"/>
    <w:basedOn w:val="Policepardfaut"/>
    <w:rPr>
      <w:rFonts w:ascii="Arial" w:eastAsia="Arial" w:hAnsi="Arial" w:cs="Arial"/>
      <w:color w:val="0F4761"/>
    </w:rPr>
  </w:style>
  <w:style w:type="character" w:customStyle="1" w:styleId="Heading6Char">
    <w:name w:val="Heading 6 Char"/>
    <w:basedOn w:val="Policepardfaut"/>
    <w:rPr>
      <w:rFonts w:ascii="Arial" w:eastAsia="Arial" w:hAnsi="Arial" w:cs="Arial"/>
      <w:i/>
      <w:iCs/>
      <w:color w:val="595959"/>
    </w:rPr>
  </w:style>
  <w:style w:type="character" w:customStyle="1" w:styleId="Heading7Char">
    <w:name w:val="Heading 7 Char"/>
    <w:basedOn w:val="Policepardfaut"/>
    <w:rPr>
      <w:rFonts w:ascii="Arial" w:eastAsia="Arial" w:hAnsi="Arial" w:cs="Arial"/>
      <w:color w:val="595959"/>
    </w:rPr>
  </w:style>
  <w:style w:type="character" w:customStyle="1" w:styleId="Heading8Char">
    <w:name w:val="Heading 8 Char"/>
    <w:basedOn w:val="Policepardfaut"/>
    <w:rPr>
      <w:rFonts w:ascii="Arial" w:eastAsia="Arial" w:hAnsi="Arial" w:cs="Arial"/>
      <w:i/>
      <w:iCs/>
      <w:color w:val="272727"/>
    </w:rPr>
  </w:style>
  <w:style w:type="character" w:customStyle="1" w:styleId="Heading9Char">
    <w:name w:val="Heading 9 Char"/>
    <w:basedOn w:val="Policepardfaut"/>
    <w:rPr>
      <w:rFonts w:ascii="Arial" w:eastAsia="Arial" w:hAnsi="Arial" w:cs="Arial"/>
      <w:i/>
      <w:iCs/>
      <w:color w:val="272727"/>
    </w:rPr>
  </w:style>
  <w:style w:type="character" w:customStyle="1" w:styleId="TitleChar">
    <w:name w:val="Title Char"/>
    <w:basedOn w:val="Policepardfaut"/>
    <w:rPr>
      <w:rFonts w:ascii="Arial" w:eastAsia="Arial" w:hAnsi="Arial" w:cs="Arial"/>
      <w:spacing w:val="-10"/>
      <w:sz w:val="56"/>
      <w:szCs w:val="56"/>
    </w:rPr>
  </w:style>
  <w:style w:type="character" w:customStyle="1" w:styleId="SubtitleChar">
    <w:name w:val="Subtitle Char"/>
    <w:basedOn w:val="Policepardfaut"/>
    <w:rPr>
      <w:color w:val="595959"/>
      <w:spacing w:val="15"/>
      <w:sz w:val="28"/>
      <w:szCs w:val="28"/>
    </w:rPr>
  </w:style>
  <w:style w:type="character" w:customStyle="1" w:styleId="QuoteChar">
    <w:name w:val="Quote Char"/>
    <w:basedOn w:val="Policepardfaut"/>
    <w:rPr>
      <w:i/>
      <w:iCs/>
      <w:color w:val="404040"/>
    </w:rPr>
  </w:style>
  <w:style w:type="character" w:styleId="Accentuationintense">
    <w:name w:val="Intense Emphasis"/>
    <w:basedOn w:val="Policepardfaut"/>
    <w:rPr>
      <w:i/>
      <w:iCs/>
      <w:color w:val="0F4761"/>
    </w:rPr>
  </w:style>
  <w:style w:type="character" w:customStyle="1" w:styleId="IntenseQuoteChar">
    <w:name w:val="Intense Quote Char"/>
    <w:basedOn w:val="Policepardfaut"/>
    <w:rPr>
      <w:i/>
      <w:iCs/>
      <w:color w:val="0F4761"/>
    </w:rPr>
  </w:style>
  <w:style w:type="character" w:styleId="Rfrenceintense">
    <w:name w:val="Intense Reference"/>
    <w:basedOn w:val="Policepardfaut"/>
    <w:rPr>
      <w:b/>
      <w:bCs/>
      <w:smallCaps/>
      <w:color w:val="0F4761"/>
      <w:spacing w:val="5"/>
    </w:rPr>
  </w:style>
  <w:style w:type="character" w:styleId="Accentuationlgre">
    <w:name w:val="Subtle Emphasis"/>
    <w:basedOn w:val="Policepardfaut"/>
    <w:rPr>
      <w:i/>
      <w:iCs/>
      <w:color w:val="404040"/>
    </w:rPr>
  </w:style>
  <w:style w:type="character" w:styleId="Accentuation">
    <w:name w:val="Emphasis"/>
    <w:basedOn w:val="Policepardfaut"/>
    <w:rPr>
      <w:i/>
      <w:iCs/>
    </w:rPr>
  </w:style>
  <w:style w:type="character" w:customStyle="1" w:styleId="StrongEmphasis">
    <w:name w:val="Strong Emphasis"/>
    <w:basedOn w:val="Policepardfaut"/>
    <w:rPr>
      <w:b/>
      <w:bCs/>
    </w:rPr>
  </w:style>
  <w:style w:type="character" w:styleId="Rfrencelgre">
    <w:name w:val="Subtle Reference"/>
    <w:basedOn w:val="Policepardfaut"/>
    <w:rPr>
      <w:smallCaps/>
      <w:color w:val="5A5A5A"/>
    </w:rPr>
  </w:style>
  <w:style w:type="character" w:styleId="Titredulivre">
    <w:name w:val="Book Title"/>
    <w:basedOn w:val="Policepardfaut"/>
    <w:rPr>
      <w:b/>
      <w:bCs/>
      <w:i/>
      <w:iCs/>
      <w:spacing w:val="5"/>
    </w:rPr>
  </w:style>
  <w:style w:type="character" w:customStyle="1" w:styleId="HeaderChar">
    <w:name w:val="Header Char"/>
    <w:basedOn w:val="Policepardfaut"/>
  </w:style>
  <w:style w:type="character" w:customStyle="1" w:styleId="FooterChar">
    <w:name w:val="Footer Char"/>
    <w:basedOn w:val="Policepardfaut"/>
  </w:style>
  <w:style w:type="character" w:customStyle="1" w:styleId="FootnoteTextChar">
    <w:name w:val="Footnote Text Char"/>
    <w:basedOn w:val="Policepardfaut"/>
    <w:rPr>
      <w:sz w:val="20"/>
      <w:szCs w:val="20"/>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EndnoteTextChar">
    <w:name w:val="Endnote Text Char"/>
    <w:basedOn w:val="Policepardfaut"/>
    <w:rPr>
      <w:sz w:val="20"/>
      <w:szCs w:val="20"/>
    </w:rPr>
  </w:style>
  <w:style w:type="character" w:customStyle="1" w:styleId="EndnoteSymbol">
    <w:name w:val="Endnote Symbol"/>
    <w:basedOn w:val="Policepardfaut"/>
    <w:rPr>
      <w:position w:val="0"/>
      <w:vertAlign w:val="superscript"/>
    </w:rPr>
  </w:style>
  <w:style w:type="character" w:customStyle="1" w:styleId="Endnoteanchor">
    <w:name w:val="Endnote anchor"/>
    <w:rPr>
      <w:position w:val="0"/>
      <w:vertAlign w:val="superscript"/>
    </w:rPr>
  </w:style>
  <w:style w:type="character" w:customStyle="1" w:styleId="Internetlink">
    <w:name w:val="Internet link"/>
    <w:basedOn w:val="Policepardfaut"/>
    <w:rPr>
      <w:color w:val="0563C1"/>
      <w:u w:val="single"/>
    </w:rPr>
  </w:style>
  <w:style w:type="character" w:customStyle="1" w:styleId="VisitedInternetLink">
    <w:name w:val="Visited Internet Link"/>
    <w:basedOn w:val="Policepardfaut"/>
    <w:rPr>
      <w:color w:val="954F72"/>
      <w:u w:val="single"/>
    </w:rPr>
  </w:style>
  <w:style w:type="numbering" w:customStyle="1" w:styleId="Aucuneliste1">
    <w:name w:val="Aucune liste1"/>
    <w:basedOn w:val="Aucuneliste"/>
    <w:pPr>
      <w:numPr>
        <w:numId w:val="1"/>
      </w:numPr>
    </w:pPr>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05671521DD804ABE10114395213BF9" ma:contentTypeVersion="13" ma:contentTypeDescription="Crée un document." ma:contentTypeScope="" ma:versionID="23b4e005d105f6597b0d321822d0a400">
  <xsd:schema xmlns:xsd="http://www.w3.org/2001/XMLSchema" xmlns:xs="http://www.w3.org/2001/XMLSchema" xmlns:p="http://schemas.microsoft.com/office/2006/metadata/properties" xmlns:ns2="f704bcd8-5206-435b-9cfc-a84acbc4a245" xmlns:ns3="a4356261-4651-4d8a-938d-f177430a8309" targetNamespace="http://schemas.microsoft.com/office/2006/metadata/properties" ma:root="true" ma:fieldsID="a2d629cc9c3bb1f4f5ccb4b1ac19ef08" ns2:_="" ns3:_="">
    <xsd:import namespace="f704bcd8-5206-435b-9cfc-a84acbc4a245"/>
    <xsd:import namespace="a4356261-4651-4d8a-938d-f177430a83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4bcd8-5206-435b-9cfc-a84acbc4a2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bb45d193-5b42-4305-841c-4832305a613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356261-4651-4d8a-938d-f177430a830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704bcd8-5206-435b-9cfc-a84acbc4a2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6D939F-592E-4C3C-8E5B-6BDD031FF47F}"/>
</file>

<file path=customXml/itemProps2.xml><?xml version="1.0" encoding="utf-8"?>
<ds:datastoreItem xmlns:ds="http://schemas.openxmlformats.org/officeDocument/2006/customXml" ds:itemID="{32051B21-78A1-4352-9C53-16E4D371CCE3}"/>
</file>

<file path=customXml/itemProps3.xml><?xml version="1.0" encoding="utf-8"?>
<ds:datastoreItem xmlns:ds="http://schemas.openxmlformats.org/officeDocument/2006/customXml" ds:itemID="{C8058FC2-5E0A-4A05-AACF-8327004A2DE9}"/>
</file>

<file path=docProps/app.xml><?xml version="1.0" encoding="utf-8"?>
<Properties xmlns="http://schemas.openxmlformats.org/officeDocument/2006/extended-properties" xmlns:vt="http://schemas.openxmlformats.org/officeDocument/2006/docPropsVTypes">
  <Template>Normal.dotm</Template>
  <TotalTime>4</TotalTime>
  <Pages>7</Pages>
  <Words>2386</Words>
  <Characters>13123</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Relecteurs Ocim</cp:lastModifiedBy>
  <cp:revision>4</cp:revision>
  <dcterms:created xsi:type="dcterms:W3CDTF">2025-12-08T07:55:00Z</dcterms:created>
  <dcterms:modified xsi:type="dcterms:W3CDTF">2025-12-08T08:38:00Z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0x0101005D05671521DD804ABE10114395213BF9</vt:lpwstr>
  </property>
</Properties>
</file>